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7B90" w14:textId="0E78A858" w:rsidR="0088380E" w:rsidRPr="008D6601" w:rsidRDefault="0088380E" w:rsidP="0088380E">
      <w:pPr>
        <w:jc w:val="center"/>
        <w:rPr>
          <w:b/>
          <w:lang w:val="en-GB"/>
        </w:rPr>
      </w:pPr>
      <w:r>
        <w:rPr>
          <w:b/>
          <w:lang w:val="en-GB"/>
        </w:rPr>
        <w:t>B</w:t>
      </w:r>
      <w:r w:rsidRPr="008D6601">
        <w:rPr>
          <w:b/>
          <w:lang w:val="en-GB"/>
        </w:rPr>
        <w:t>irds of a Feather or by Note? Ideological Nationalizati</w:t>
      </w:r>
      <w:r>
        <w:rPr>
          <w:b/>
          <w:lang w:val="en-GB"/>
        </w:rPr>
        <w:t>on of Local Electoral Manifesto</w:t>
      </w:r>
      <w:r w:rsidRPr="008D6601">
        <w:rPr>
          <w:b/>
          <w:lang w:val="en-GB"/>
        </w:rPr>
        <w:t>s in Belgium</w:t>
      </w:r>
    </w:p>
    <w:p w14:paraId="600C44A3" w14:textId="3ED49AA3" w:rsidR="0088380E" w:rsidRDefault="0088380E" w:rsidP="0088380E">
      <w:pPr>
        <w:jc w:val="center"/>
        <w:rPr>
          <w:i/>
        </w:rPr>
      </w:pPr>
      <w:r w:rsidRPr="0076490C">
        <w:rPr>
          <w:i/>
        </w:rPr>
        <w:t>Nicolas Van de Voorde, Nicolas Bouteca, Tom Schamp &amp; Kristof Steyvers</w:t>
      </w:r>
      <w:r>
        <w:rPr>
          <w:rStyle w:val="FootnoteReference"/>
          <w:i/>
        </w:rPr>
        <w:footnoteReference w:id="1"/>
      </w:r>
    </w:p>
    <w:p w14:paraId="45DEF556" w14:textId="77777777" w:rsidR="0088380E" w:rsidRDefault="0088380E" w:rsidP="0088380E">
      <w:pPr>
        <w:jc w:val="both"/>
        <w:rPr>
          <w:i/>
        </w:rPr>
      </w:pPr>
    </w:p>
    <w:p w14:paraId="100041F3" w14:textId="79C43A46" w:rsidR="0088380E" w:rsidRPr="001D2CB3" w:rsidRDefault="0088380E" w:rsidP="0088380E">
      <w:pPr>
        <w:jc w:val="both"/>
        <w:rPr>
          <w:b/>
        </w:rPr>
      </w:pPr>
      <w:r w:rsidRPr="001D2CB3">
        <w:rPr>
          <w:b/>
        </w:rPr>
        <w:br w:type="page"/>
      </w:r>
    </w:p>
    <w:p w14:paraId="11B59622" w14:textId="099D211D" w:rsidR="00833454" w:rsidRPr="00833454" w:rsidRDefault="00833454" w:rsidP="00833454">
      <w:pPr>
        <w:spacing w:line="240" w:lineRule="auto"/>
        <w:jc w:val="both"/>
        <w:rPr>
          <w:b/>
          <w:lang w:val="en-US"/>
        </w:rPr>
      </w:pPr>
      <w:r w:rsidRPr="00833454">
        <w:rPr>
          <w:b/>
          <w:lang w:val="en-US"/>
        </w:rPr>
        <w:lastRenderedPageBreak/>
        <w:t>Abstract</w:t>
      </w:r>
    </w:p>
    <w:p w14:paraId="7C638A17" w14:textId="77777777" w:rsidR="00833454" w:rsidRDefault="00833454" w:rsidP="00833454">
      <w:pPr>
        <w:spacing w:line="240" w:lineRule="auto"/>
        <w:jc w:val="both"/>
        <w:rPr>
          <w:lang w:val="en-US"/>
        </w:rPr>
      </w:pPr>
      <w:r w:rsidRPr="00A45C08">
        <w:rPr>
          <w:lang w:val="en-US"/>
        </w:rPr>
        <w:t>Scholars trying to unravel the phenom</w:t>
      </w:r>
      <w:r>
        <w:rPr>
          <w:lang w:val="en-US"/>
        </w:rPr>
        <w:t>enon of nationalization seldom consider the local policy layer or the ideological dimension. This study applies a widespread content analysis of local election manifestos to investigate possible programmatic overlaps between the party headquarters and its local branches. Quantitative data of 89 programs is used to calculate an innovative nationalization measure which is later on introduced in a linear regression model. Ideological similarities seem to be omnipresent, but primarily among leftist parties, branches participating in the local government and in larger municipalities. Hence, local government is clearly being penetrated by national policy programming in the form of an ideological election template whose core is always maintained.</w:t>
      </w:r>
    </w:p>
    <w:p w14:paraId="5993FC05" w14:textId="560FB168" w:rsidR="000C14A4" w:rsidRPr="00A45C08" w:rsidRDefault="000C14A4" w:rsidP="00833454">
      <w:pPr>
        <w:spacing w:line="240" w:lineRule="auto"/>
        <w:jc w:val="both"/>
        <w:rPr>
          <w:lang w:val="en-US"/>
        </w:rPr>
      </w:pPr>
      <w:r>
        <w:rPr>
          <w:lang w:val="en-US"/>
        </w:rPr>
        <w:t>Keywords: Nationalization, Electoral Manifestos, Ideology, Content Analysis</w:t>
      </w:r>
    </w:p>
    <w:p w14:paraId="1A989E46" w14:textId="77777777" w:rsidR="00833454" w:rsidRPr="00833454" w:rsidRDefault="00833454" w:rsidP="003C57F6">
      <w:pPr>
        <w:jc w:val="both"/>
        <w:rPr>
          <w:b/>
          <w:lang w:val="en-US"/>
        </w:rPr>
      </w:pPr>
    </w:p>
    <w:p w14:paraId="558C2490" w14:textId="77777777" w:rsidR="00833454" w:rsidRDefault="00833454">
      <w:pPr>
        <w:rPr>
          <w:b/>
          <w:lang w:val="en-GB"/>
        </w:rPr>
      </w:pPr>
      <w:r>
        <w:rPr>
          <w:b/>
          <w:lang w:val="en-GB"/>
        </w:rPr>
        <w:br w:type="page"/>
      </w:r>
    </w:p>
    <w:p w14:paraId="2349A771" w14:textId="6BFC9FD2" w:rsidR="003C57F6" w:rsidRPr="008D6601" w:rsidRDefault="003C57F6" w:rsidP="003C57F6">
      <w:pPr>
        <w:jc w:val="both"/>
        <w:rPr>
          <w:b/>
          <w:lang w:val="en-GB"/>
        </w:rPr>
      </w:pPr>
      <w:r w:rsidRPr="008D6601">
        <w:rPr>
          <w:b/>
          <w:lang w:val="en-GB"/>
        </w:rPr>
        <w:lastRenderedPageBreak/>
        <w:t>Introduction</w:t>
      </w:r>
    </w:p>
    <w:p w14:paraId="5BA964E8" w14:textId="77777777" w:rsidR="003C57F6" w:rsidRPr="008D6601" w:rsidRDefault="003C57F6" w:rsidP="003C57F6">
      <w:pPr>
        <w:jc w:val="both"/>
        <w:rPr>
          <w:lang w:val="en-GB"/>
        </w:rPr>
      </w:pPr>
      <w:r>
        <w:rPr>
          <w:lang w:val="en-GB"/>
        </w:rPr>
        <w:t>Ever s</w:t>
      </w:r>
      <w:r w:rsidRPr="008D6601">
        <w:rPr>
          <w:lang w:val="en-GB"/>
        </w:rPr>
        <w:t>ince the introduction of the modern liberal democratic nation-state scholars have debated the surplus of an independent local government (Sharpe, 1970</w:t>
      </w:r>
      <w:r>
        <w:rPr>
          <w:lang w:val="en-GB"/>
        </w:rPr>
        <w:t xml:space="preserve">; </w:t>
      </w:r>
      <w:proofErr w:type="spellStart"/>
      <w:r>
        <w:rPr>
          <w:lang w:val="en-GB"/>
        </w:rPr>
        <w:t>Kjellberg</w:t>
      </w:r>
      <w:proofErr w:type="spellEnd"/>
      <w:r>
        <w:rPr>
          <w:lang w:val="en-GB"/>
        </w:rPr>
        <w:t>, 1995</w:t>
      </w:r>
      <w:r w:rsidRPr="008D6601">
        <w:rPr>
          <w:lang w:val="en-GB"/>
        </w:rPr>
        <w:t xml:space="preserve">). The discussion </w:t>
      </w:r>
      <w:r>
        <w:rPr>
          <w:lang w:val="en-GB"/>
        </w:rPr>
        <w:t>traditionally revolved</w:t>
      </w:r>
      <w:r w:rsidRPr="008D6601">
        <w:rPr>
          <w:lang w:val="en-GB"/>
        </w:rPr>
        <w:t xml:space="preserve"> around the ‘room for local choice’ </w:t>
      </w:r>
      <w:r>
        <w:rPr>
          <w:lang w:val="en-GB"/>
        </w:rPr>
        <w:t>evoking</w:t>
      </w:r>
      <w:r w:rsidRPr="008D6601">
        <w:rPr>
          <w:lang w:val="en-GB"/>
        </w:rPr>
        <w:t xml:space="preserve"> a tension between local self-government and central agency</w:t>
      </w:r>
      <w:r>
        <w:rPr>
          <w:lang w:val="en-GB"/>
        </w:rPr>
        <w:t xml:space="preserve"> (with differing degrees of discretion in co-governance)</w:t>
      </w:r>
      <w:r w:rsidRPr="008D6601">
        <w:rPr>
          <w:lang w:val="en-GB"/>
        </w:rPr>
        <w:t xml:space="preserve">. In contemporary local governance, the range of functional responsibilities for local government has increasingly widened and the nature of their actions galvanized in an enabling direction. Hence, traditional central-local regimes have been replaced with </w:t>
      </w:r>
      <w:r>
        <w:rPr>
          <w:lang w:val="en-GB"/>
        </w:rPr>
        <w:t>a</w:t>
      </w:r>
      <w:r w:rsidRPr="008D6601">
        <w:rPr>
          <w:lang w:val="en-GB"/>
        </w:rPr>
        <w:t xml:space="preserve"> default of multi-level governance implying multifaceted modes of policy entanglement of the various layers of government affecting local leeway in a differentiated manner (Goldsmith &amp; Page, 2010; </w:t>
      </w:r>
      <w:proofErr w:type="spellStart"/>
      <w:r w:rsidRPr="008D6601">
        <w:rPr>
          <w:lang w:val="en-GB"/>
        </w:rPr>
        <w:t>Denters</w:t>
      </w:r>
      <w:proofErr w:type="spellEnd"/>
      <w:r w:rsidRPr="008D6601">
        <w:rPr>
          <w:lang w:val="en-GB"/>
        </w:rPr>
        <w:t xml:space="preserve">, 2011). </w:t>
      </w:r>
    </w:p>
    <w:p w14:paraId="0C90F45F" w14:textId="77777777" w:rsidR="003C57F6" w:rsidRPr="008D6601" w:rsidRDefault="003C57F6" w:rsidP="003C57F6">
      <w:pPr>
        <w:jc w:val="both"/>
        <w:rPr>
          <w:lang w:val="en-GB"/>
        </w:rPr>
      </w:pPr>
      <w:r w:rsidRPr="008D6601">
        <w:rPr>
          <w:lang w:val="en-GB"/>
        </w:rPr>
        <w:t>Capturing the colligated political dynamics of this debate, the thesis of nationalization of local politics has emerged as a discrete lynchpin. Originally coined to comprehend the deterritorialisation of national elections (</w:t>
      </w:r>
      <w:proofErr w:type="spellStart"/>
      <w:r w:rsidRPr="008D6601">
        <w:rPr>
          <w:lang w:val="en-GB"/>
        </w:rPr>
        <w:t>Caramani</w:t>
      </w:r>
      <w:proofErr w:type="spellEnd"/>
      <w:r>
        <w:rPr>
          <w:lang w:val="en-GB"/>
        </w:rPr>
        <w:t>, 2004</w:t>
      </w:r>
      <w:r w:rsidRPr="008D6601">
        <w:rPr>
          <w:lang w:val="en-GB"/>
        </w:rPr>
        <w:t xml:space="preserve">), the concept has gradually been stretched to captivate the various dimensions of the alleged geographical </w:t>
      </w:r>
      <w:r>
        <w:rPr>
          <w:lang w:val="en-GB"/>
        </w:rPr>
        <w:t>homogenization of politics</w:t>
      </w:r>
      <w:r w:rsidRPr="008D6601">
        <w:rPr>
          <w:lang w:val="en-GB"/>
        </w:rPr>
        <w:t xml:space="preserve"> equally from a local government perspective. This hollowing out of place-bound heterogeneity has often been problematized with the local level identified as close to citizens taking tangible decisions that visibly affect their daily life. National influences are professed to erase the particularities of local politics.</w:t>
      </w:r>
    </w:p>
    <w:p w14:paraId="2FFB9D0E" w14:textId="2A2AF36D" w:rsidR="003C57F6" w:rsidRPr="008D6601" w:rsidRDefault="003C57F6" w:rsidP="003C57F6">
      <w:pPr>
        <w:jc w:val="both"/>
        <w:rPr>
          <w:lang w:val="en-GB"/>
        </w:rPr>
      </w:pPr>
      <w:r>
        <w:rPr>
          <w:lang w:val="en-GB"/>
        </w:rPr>
        <w:t>M</w:t>
      </w:r>
      <w:r w:rsidRPr="008D6601">
        <w:rPr>
          <w:lang w:val="en-GB"/>
        </w:rPr>
        <w:t>ost of the subsequent research has been concerned with the nationalization of the supply and the success of parties in the early phases of local elections (</w:t>
      </w:r>
      <w:proofErr w:type="spellStart"/>
      <w:r w:rsidRPr="008D6601">
        <w:rPr>
          <w:lang w:val="en-GB"/>
        </w:rPr>
        <w:t>Ackaert</w:t>
      </w:r>
      <w:proofErr w:type="spellEnd"/>
      <w:r w:rsidRPr="008D6601">
        <w:rPr>
          <w:lang w:val="en-GB"/>
        </w:rPr>
        <w:t>, 2006). The predominant perspective is ecological comparing differences between municipalities resulting in explorations of local party system nationalization (</w:t>
      </w:r>
      <w:proofErr w:type="spellStart"/>
      <w:r w:rsidRPr="008D6601">
        <w:rPr>
          <w:lang w:val="en-GB"/>
        </w:rPr>
        <w:t>Kj</w:t>
      </w:r>
      <w:r w:rsidRPr="008D6601">
        <w:rPr>
          <w:rFonts w:cstheme="minorHAnsi"/>
          <w:lang w:val="en-GB"/>
        </w:rPr>
        <w:t>æ</w:t>
      </w:r>
      <w:r w:rsidRPr="008D6601">
        <w:rPr>
          <w:lang w:val="en-GB"/>
        </w:rPr>
        <w:t>r</w:t>
      </w:r>
      <w:proofErr w:type="spellEnd"/>
      <w:r w:rsidRPr="008D6601">
        <w:rPr>
          <w:lang w:val="en-GB"/>
        </w:rPr>
        <w:t xml:space="preserve"> &amp; </w:t>
      </w:r>
      <w:proofErr w:type="spellStart"/>
      <w:r w:rsidRPr="008D6601">
        <w:rPr>
          <w:lang w:val="en-GB"/>
        </w:rPr>
        <w:t>Elklit</w:t>
      </w:r>
      <w:proofErr w:type="spellEnd"/>
      <w:r w:rsidRPr="008D6601">
        <w:rPr>
          <w:lang w:val="en-GB"/>
        </w:rPr>
        <w:t xml:space="preserve">, 2010a, </w:t>
      </w:r>
      <w:proofErr w:type="spellStart"/>
      <w:r w:rsidRPr="008D6601">
        <w:rPr>
          <w:lang w:val="en-GB"/>
        </w:rPr>
        <w:t>Ennser</w:t>
      </w:r>
      <w:proofErr w:type="spellEnd"/>
      <w:r w:rsidRPr="008D6601">
        <w:rPr>
          <w:lang w:val="en-GB"/>
        </w:rPr>
        <w:t xml:space="preserve"> &amp; Hansen, 2013). Complementary efforts have widened the scope to include later phases </w:t>
      </w:r>
      <w:r>
        <w:rPr>
          <w:lang w:val="en-GB"/>
        </w:rPr>
        <w:t>in</w:t>
      </w:r>
      <w:r w:rsidRPr="008D6601">
        <w:rPr>
          <w:lang w:val="en-GB"/>
        </w:rPr>
        <w:t xml:space="preserve"> local elections or to reorient the unit of analysis to the individual level of politicians or voters (</w:t>
      </w:r>
      <w:proofErr w:type="spellStart"/>
      <w:r w:rsidRPr="008D6601">
        <w:rPr>
          <w:lang w:val="en-GB"/>
        </w:rPr>
        <w:t>Kjær</w:t>
      </w:r>
      <w:proofErr w:type="spellEnd"/>
      <w:r w:rsidRPr="008D6601">
        <w:rPr>
          <w:lang w:val="en-GB"/>
        </w:rPr>
        <w:t xml:space="preserve"> &amp; </w:t>
      </w:r>
      <w:r w:rsidR="008663A3">
        <w:rPr>
          <w:lang w:val="en-GB"/>
        </w:rPr>
        <w:t>Steyvers</w:t>
      </w:r>
      <w:r w:rsidRPr="008D6601">
        <w:rPr>
          <w:lang w:val="en-GB"/>
        </w:rPr>
        <w:t xml:space="preserve">, 2014). Yet others have tried to sharpen insights in focussing on similarities in the structure and functioning of local chapters and their national centre or by scrutinizing uniformity in their </w:t>
      </w:r>
      <w:r>
        <w:rPr>
          <w:lang w:val="en-GB"/>
        </w:rPr>
        <w:t>policies</w:t>
      </w:r>
      <w:r w:rsidRPr="008D6601">
        <w:rPr>
          <w:lang w:val="en-GB"/>
        </w:rPr>
        <w:t xml:space="preserve">. It is at the intersection of these latter two this paper is situated. </w:t>
      </w:r>
    </w:p>
    <w:p w14:paraId="62C4F2EF" w14:textId="77777777" w:rsidR="003C57F6" w:rsidRPr="008D6601" w:rsidRDefault="003C57F6" w:rsidP="003C57F6">
      <w:pPr>
        <w:jc w:val="both"/>
        <w:rPr>
          <w:lang w:val="en-GB"/>
        </w:rPr>
      </w:pPr>
      <w:r w:rsidRPr="008D6601">
        <w:rPr>
          <w:lang w:val="en-GB"/>
        </w:rPr>
        <w:t>Its central research question is: to what extent does the nationalization of local elections apply in ideological terms?</w:t>
      </w:r>
      <w:r>
        <w:rPr>
          <w:lang w:val="en-GB"/>
        </w:rPr>
        <w:t xml:space="preserve"> </w:t>
      </w:r>
      <w:r w:rsidRPr="008D6601">
        <w:rPr>
          <w:lang w:val="en-GB"/>
        </w:rPr>
        <w:t xml:space="preserve">Particularly, this paper aims to scrutinize ideological nationalization </w:t>
      </w:r>
      <w:r>
        <w:rPr>
          <w:lang w:val="en-GB"/>
        </w:rPr>
        <w:t xml:space="preserve">as programmatic congruence </w:t>
      </w:r>
      <w:r w:rsidRPr="008D6601">
        <w:rPr>
          <w:lang w:val="en-GB"/>
        </w:rPr>
        <w:t>throug</w:t>
      </w:r>
      <w:r>
        <w:rPr>
          <w:lang w:val="en-GB"/>
        </w:rPr>
        <w:t>h comparing electoral manifesto</w:t>
      </w:r>
      <w:r w:rsidRPr="008D6601">
        <w:rPr>
          <w:lang w:val="en-GB"/>
        </w:rPr>
        <w:t>s of local chapters with the model program provided by the central headquarters of their national mother party. Our approach is quantitative trying to measure local-national similarity through the amount of attention dedicated to designated polic</w:t>
      </w:r>
      <w:r>
        <w:rPr>
          <w:lang w:val="en-GB"/>
        </w:rPr>
        <w:t>y categories in these manifesto</w:t>
      </w:r>
      <w:r w:rsidRPr="008D6601">
        <w:rPr>
          <w:lang w:val="en-GB"/>
        </w:rPr>
        <w:t>s. As an object of quantitative resear</w:t>
      </w:r>
      <w:r>
        <w:rPr>
          <w:lang w:val="en-GB"/>
        </w:rPr>
        <w:t>ch in local politics, manifesto</w:t>
      </w:r>
      <w:r w:rsidRPr="008D6601">
        <w:rPr>
          <w:lang w:val="en-GB"/>
        </w:rPr>
        <w:t>s have not attracted abundant scholarly attention (</w:t>
      </w:r>
      <w:r>
        <w:rPr>
          <w:lang w:val="en-GB"/>
        </w:rPr>
        <w:t xml:space="preserve">but see </w:t>
      </w:r>
      <w:r w:rsidRPr="008D6601">
        <w:rPr>
          <w:lang w:val="en-GB"/>
        </w:rPr>
        <w:t xml:space="preserve">Ashworth, 2000 &amp; </w:t>
      </w:r>
      <w:proofErr w:type="spellStart"/>
      <w:r w:rsidRPr="008D6601">
        <w:rPr>
          <w:lang w:val="en-GB"/>
        </w:rPr>
        <w:t>Agas</w:t>
      </w:r>
      <w:r w:rsidRPr="008D6601">
        <w:rPr>
          <w:rFonts w:cstheme="minorHAnsi"/>
          <w:lang w:val="en-GB"/>
        </w:rPr>
        <w:t>ø</w:t>
      </w:r>
      <w:r w:rsidRPr="008D6601">
        <w:rPr>
          <w:lang w:val="en-GB"/>
        </w:rPr>
        <w:t>ster</w:t>
      </w:r>
      <w:proofErr w:type="spellEnd"/>
      <w:r w:rsidRPr="008D6601">
        <w:rPr>
          <w:lang w:val="en-GB"/>
        </w:rPr>
        <w:t xml:space="preserve">, 2001) opposite to their regional or national counterparts (see the respective </w:t>
      </w:r>
      <w:r w:rsidRPr="008D6601">
        <w:rPr>
          <w:i/>
          <w:lang w:val="en-GB"/>
        </w:rPr>
        <w:t>Regional</w:t>
      </w:r>
      <w:r w:rsidRPr="008D6601">
        <w:rPr>
          <w:lang w:val="en-GB"/>
        </w:rPr>
        <w:t xml:space="preserve"> and </w:t>
      </w:r>
      <w:r w:rsidRPr="008D6601">
        <w:rPr>
          <w:i/>
          <w:lang w:val="en-GB"/>
        </w:rPr>
        <w:t>Comparative Manifestos Project</w:t>
      </w:r>
      <w:r w:rsidRPr="008D6601">
        <w:rPr>
          <w:lang w:val="en-GB"/>
        </w:rPr>
        <w:t xml:space="preserve">). The large number of local units in each country (hampering straightforward generalizability) and the labour intensive coding of manifestos (whenever readily available) have evidently added to that. In contrast, this paper will try to both describe the extent to which this form of nationalization is the case as well as to account for variation within it by using manifesto data for the most recent local elections of 2012 in Belgium. </w:t>
      </w:r>
    </w:p>
    <w:p w14:paraId="38A8944A" w14:textId="2D1BCB1F" w:rsidR="003C57F6" w:rsidRPr="008D6601" w:rsidRDefault="003C57F6" w:rsidP="003C57F6">
      <w:pPr>
        <w:jc w:val="both"/>
        <w:rPr>
          <w:lang w:val="en-GB"/>
        </w:rPr>
      </w:pPr>
      <w:r w:rsidRPr="008D6601">
        <w:rPr>
          <w:lang w:val="en-GB"/>
        </w:rPr>
        <w:t xml:space="preserve">This context could be designated as exemplary for </w:t>
      </w:r>
      <w:r>
        <w:rPr>
          <w:lang w:val="en-GB"/>
        </w:rPr>
        <w:t>nationalization</w:t>
      </w:r>
      <w:r w:rsidRPr="008D6601">
        <w:rPr>
          <w:lang w:val="en-GB"/>
        </w:rPr>
        <w:t xml:space="preserve">. Institutionally spurred by its semi-open proportional list system a local variant of the multiparty system has developed that can currently be characterized for the bulk of municipalities as mixed (national candidate lists as well as </w:t>
      </w:r>
      <w:r w:rsidRPr="008D6601">
        <w:rPr>
          <w:lang w:val="en-GB"/>
        </w:rPr>
        <w:lastRenderedPageBreak/>
        <w:t xml:space="preserve">their non-national counterparts compete and obtain seats) to predominantly national (non-national lists compete but do not obtain seats). Our empirical research is limited to lists partaking in local elections in the Northern region of Flanders. Apart from the mundane limitations of data availability, this selectivity seems justified by the Belgian particularity of a fully regionalized party system (‘national’ parties have seized to exist) and the gradual organic and functional inculcation of municipalities in their regional orbit stemming </w:t>
      </w:r>
      <w:r>
        <w:rPr>
          <w:lang w:val="en-GB"/>
        </w:rPr>
        <w:t>from</w:t>
      </w:r>
      <w:r w:rsidRPr="008D6601">
        <w:rPr>
          <w:lang w:val="en-GB"/>
        </w:rPr>
        <w:t xml:space="preserve"> consecutive rounds of state reform (Wayenberg et al., 2011). In addition, the 2012 local elections have often been conceived as a most likely case of nationalization abetted by a surge of local anchorage of the Flemish-nationalist party N-VA in the slipstream of its preceding </w:t>
      </w:r>
      <w:r w:rsidR="00196811">
        <w:rPr>
          <w:lang w:val="en-GB"/>
        </w:rPr>
        <w:t>supra-local electoral seizure (</w:t>
      </w:r>
      <w:r w:rsidR="008663A3">
        <w:rPr>
          <w:lang w:val="en-GB"/>
        </w:rPr>
        <w:t>Steyvers</w:t>
      </w:r>
      <w:r w:rsidRPr="008D6601">
        <w:rPr>
          <w:lang w:val="en-GB"/>
        </w:rPr>
        <w:t xml:space="preserve"> &amp; De Ceuninck, 2013).</w:t>
      </w:r>
    </w:p>
    <w:p w14:paraId="364DB014" w14:textId="77777777" w:rsidR="003C57F6" w:rsidRPr="008D6601" w:rsidRDefault="003C57F6" w:rsidP="003C57F6">
      <w:pPr>
        <w:jc w:val="both"/>
        <w:rPr>
          <w:lang w:val="en-GB"/>
        </w:rPr>
      </w:pPr>
      <w:r w:rsidRPr="008D6601">
        <w:rPr>
          <w:lang w:val="en-GB"/>
        </w:rPr>
        <w:t>In sum, taking party lists as the prime unit of analysis the paper provides a cross-sectional account of one aspect in a ditto dimension of the wider dynamics of the nationalization of local politics, albeit important and often neglected. This is a first theoretical addition to the current literature the paper endeavours. It thereby seeks to transcend these limitations trying to contribute to the underdeveloped study of parties at the local level and their nexus with the national realm (</w:t>
      </w:r>
      <w:proofErr w:type="spellStart"/>
      <w:r w:rsidRPr="008D6601">
        <w:rPr>
          <w:lang w:val="en-GB"/>
        </w:rPr>
        <w:t>Kj</w:t>
      </w:r>
      <w:r w:rsidRPr="008D6601">
        <w:rPr>
          <w:rFonts w:cstheme="minorHAnsi"/>
          <w:lang w:val="en-GB"/>
        </w:rPr>
        <w:t>æ</w:t>
      </w:r>
      <w:r w:rsidRPr="008D6601">
        <w:rPr>
          <w:lang w:val="en-GB"/>
        </w:rPr>
        <w:t>r</w:t>
      </w:r>
      <w:proofErr w:type="spellEnd"/>
      <w:r w:rsidRPr="008D6601">
        <w:rPr>
          <w:lang w:val="en-GB"/>
        </w:rPr>
        <w:t xml:space="preserve"> &amp; </w:t>
      </w:r>
      <w:proofErr w:type="spellStart"/>
      <w:r w:rsidRPr="008D6601">
        <w:rPr>
          <w:lang w:val="en-GB"/>
        </w:rPr>
        <w:t>Elklit</w:t>
      </w:r>
      <w:proofErr w:type="spellEnd"/>
      <w:r w:rsidRPr="008D6601">
        <w:rPr>
          <w:lang w:val="en-GB"/>
        </w:rPr>
        <w:t xml:space="preserve">, 2010a). Moreover, by developing an innovative method to assess ideological nationalization and applying </w:t>
      </w:r>
      <w:r>
        <w:rPr>
          <w:lang w:val="en-GB"/>
        </w:rPr>
        <w:t xml:space="preserve">it </w:t>
      </w:r>
      <w:r w:rsidRPr="008D6601">
        <w:rPr>
          <w:lang w:val="en-GB"/>
        </w:rPr>
        <w:t>in a representative context the paper tries to empirically enrich the on-going nationalization debate. This will help us to unravel the key query formulated alternatively: do birds of a feather indeed flock together or is each local species known by its place-bound note?</w:t>
      </w:r>
    </w:p>
    <w:p w14:paraId="5D68B6E5" w14:textId="77777777" w:rsidR="003C57F6" w:rsidRDefault="003C57F6" w:rsidP="003C57F6">
      <w:pPr>
        <w:jc w:val="both"/>
        <w:rPr>
          <w:lang w:val="en-GB"/>
        </w:rPr>
      </w:pPr>
      <w:r w:rsidRPr="008D6601">
        <w:rPr>
          <w:lang w:val="en-GB"/>
        </w:rPr>
        <w:t xml:space="preserve">This paper proceeds as follows. The first part elaborates on the postulates of nationalization and their implications for the ideology of party chapters in the context of local elections. </w:t>
      </w:r>
      <w:r>
        <w:rPr>
          <w:lang w:val="en-GB"/>
        </w:rPr>
        <w:t xml:space="preserve">The </w:t>
      </w:r>
      <w:r w:rsidRPr="008D6601">
        <w:rPr>
          <w:lang w:val="en-GB"/>
        </w:rPr>
        <w:t>second discusses the added value of the method proposed to measure ideological nationalization by studying the extent to which the relative attention dedicated to certain polic</w:t>
      </w:r>
      <w:r>
        <w:rPr>
          <w:lang w:val="en-GB"/>
        </w:rPr>
        <w:t>y categories in local manifesto</w:t>
      </w:r>
      <w:r w:rsidRPr="008D6601">
        <w:rPr>
          <w:lang w:val="en-GB"/>
        </w:rPr>
        <w:t xml:space="preserve">s corresponds to that of the model program of their central organization. Subsequently, in the third part this yardstick will be applied </w:t>
      </w:r>
      <w:r>
        <w:rPr>
          <w:lang w:val="en-GB"/>
        </w:rPr>
        <w:t>to a bit less than 90 manifesto</w:t>
      </w:r>
      <w:r w:rsidRPr="008D6601">
        <w:rPr>
          <w:lang w:val="en-GB"/>
        </w:rPr>
        <w:t xml:space="preserve">s expounded in the 2012 local elections in the Flemish region of Belgium resulting in a description of ideological nationalization scores in a </w:t>
      </w:r>
      <w:r w:rsidRPr="007062AC">
        <w:rPr>
          <w:lang w:val="en-GB"/>
        </w:rPr>
        <w:t xml:space="preserve">relative index. Furthermore, the fourth part will exploratory account for variation in ideological nationalization by probing into the explanatory power of differences in terms of party type. We will try to determine if the ideological position, the genetic origin and the </w:t>
      </w:r>
      <w:r>
        <w:rPr>
          <w:lang w:val="en-GB"/>
        </w:rPr>
        <w:t>party age matter</w:t>
      </w:r>
      <w:r w:rsidRPr="007062AC">
        <w:rPr>
          <w:lang w:val="en-GB"/>
        </w:rPr>
        <w:t xml:space="preserve"> for ideological nationalization. Participation in the (outgoing) local governing majority and municipal size will serve as control variables to assess the robustness of the party type effect. Finally, the fifth part presents some overall conclusions and thoughts for further discussion.</w:t>
      </w:r>
      <w:r w:rsidRPr="008D6601">
        <w:rPr>
          <w:lang w:val="en-GB"/>
        </w:rPr>
        <w:t xml:space="preserve">        </w:t>
      </w:r>
    </w:p>
    <w:p w14:paraId="153D61E9" w14:textId="77777777" w:rsidR="003C57F6" w:rsidRPr="008D6601" w:rsidRDefault="003C57F6" w:rsidP="003C57F6">
      <w:pPr>
        <w:jc w:val="both"/>
        <w:rPr>
          <w:b/>
          <w:lang w:val="en-GB"/>
        </w:rPr>
      </w:pPr>
      <w:r w:rsidRPr="008D6601">
        <w:rPr>
          <w:b/>
          <w:lang w:val="en-GB"/>
        </w:rPr>
        <w:t xml:space="preserve">Pluming the literature: reviewing evidence for ideological nationalization </w:t>
      </w:r>
      <w:r>
        <w:rPr>
          <w:b/>
          <w:lang w:val="en-GB"/>
        </w:rPr>
        <w:t>in</w:t>
      </w:r>
      <w:r w:rsidRPr="008D6601">
        <w:rPr>
          <w:b/>
          <w:lang w:val="en-GB"/>
        </w:rPr>
        <w:t xml:space="preserve"> local elections </w:t>
      </w:r>
    </w:p>
    <w:p w14:paraId="6EE1DEA4" w14:textId="77777777" w:rsidR="003C57F6" w:rsidRPr="008D6601" w:rsidRDefault="003C57F6" w:rsidP="003C57F6">
      <w:pPr>
        <w:jc w:val="both"/>
        <w:rPr>
          <w:lang w:val="en-GB"/>
        </w:rPr>
      </w:pPr>
      <w:r w:rsidRPr="008D6601">
        <w:rPr>
          <w:lang w:val="en-GB"/>
        </w:rPr>
        <w:t xml:space="preserve">In this section the existing evidence will be examined mining the literature for indications of ideological nationalization of local elections. </w:t>
      </w:r>
      <w:r>
        <w:rPr>
          <w:lang w:val="en-GB"/>
        </w:rPr>
        <w:t>Starting</w:t>
      </w:r>
      <w:r w:rsidRPr="008D6601">
        <w:rPr>
          <w:lang w:val="en-GB"/>
        </w:rPr>
        <w:t xml:space="preserve"> from the nationalization of electoral politics</w:t>
      </w:r>
      <w:r>
        <w:rPr>
          <w:lang w:val="en-GB"/>
        </w:rPr>
        <w:t xml:space="preserve"> from a </w:t>
      </w:r>
      <w:r w:rsidRPr="008D6601">
        <w:rPr>
          <w:lang w:val="en-GB"/>
        </w:rPr>
        <w:t xml:space="preserve">local </w:t>
      </w:r>
      <w:r>
        <w:rPr>
          <w:lang w:val="en-GB"/>
        </w:rPr>
        <w:t xml:space="preserve">government </w:t>
      </w:r>
      <w:r w:rsidRPr="008D6601">
        <w:rPr>
          <w:lang w:val="en-GB"/>
        </w:rPr>
        <w:t xml:space="preserve">perspective the focus </w:t>
      </w:r>
      <w:r>
        <w:rPr>
          <w:lang w:val="en-GB"/>
        </w:rPr>
        <w:t xml:space="preserve">will be sharpened </w:t>
      </w:r>
      <w:r w:rsidRPr="008D6601">
        <w:rPr>
          <w:lang w:val="en-GB"/>
        </w:rPr>
        <w:t xml:space="preserve">on the ideological nationalization of local elections as the programmatic congruence of local chapters with their national headquarter. </w:t>
      </w:r>
      <w:r>
        <w:rPr>
          <w:lang w:val="en-GB"/>
        </w:rPr>
        <w:t xml:space="preserve">Pertinent </w:t>
      </w:r>
      <w:r w:rsidRPr="008D6601">
        <w:rPr>
          <w:lang w:val="en-GB"/>
        </w:rPr>
        <w:t>insights for the Belgian case will be situated in the comparative findings.</w:t>
      </w:r>
    </w:p>
    <w:p w14:paraId="6A271FDA" w14:textId="77777777" w:rsidR="003C57F6" w:rsidRPr="00BE0281" w:rsidRDefault="003C57F6" w:rsidP="003C57F6">
      <w:pPr>
        <w:jc w:val="both"/>
        <w:rPr>
          <w:i/>
          <w:lang w:val="en-GB"/>
        </w:rPr>
      </w:pPr>
      <w:r w:rsidRPr="00BE0281">
        <w:rPr>
          <w:i/>
          <w:lang w:val="en-GB"/>
        </w:rPr>
        <w:t xml:space="preserve">The nationalization of electoral politics from a local government perspective </w:t>
      </w:r>
    </w:p>
    <w:p w14:paraId="79FDEC26" w14:textId="77777777" w:rsidR="003C57F6" w:rsidRPr="008D6601" w:rsidRDefault="003C57F6" w:rsidP="003C57F6">
      <w:pPr>
        <w:jc w:val="both"/>
        <w:rPr>
          <w:lang w:val="en-GB"/>
        </w:rPr>
      </w:pPr>
      <w:r>
        <w:rPr>
          <w:lang w:val="en-GB"/>
        </w:rPr>
        <w:t>T</w:t>
      </w:r>
      <w:r w:rsidRPr="008D6601">
        <w:rPr>
          <w:lang w:val="en-GB"/>
        </w:rPr>
        <w:t xml:space="preserve">he basic tenet </w:t>
      </w:r>
      <w:r>
        <w:rPr>
          <w:lang w:val="en-GB"/>
        </w:rPr>
        <w:t xml:space="preserve">of nationalization </w:t>
      </w:r>
      <w:r w:rsidRPr="008D6601">
        <w:rPr>
          <w:lang w:val="en-GB"/>
        </w:rPr>
        <w:t>holds that political differences are disappearing between the various geographic units of a nation</w:t>
      </w:r>
      <w:r>
        <w:rPr>
          <w:lang w:val="en-GB"/>
        </w:rPr>
        <w:t xml:space="preserve"> (Lago &amp; Montero, 2014)</w:t>
      </w:r>
      <w:r w:rsidRPr="008D6601">
        <w:rPr>
          <w:lang w:val="en-GB"/>
        </w:rPr>
        <w:t xml:space="preserve">. </w:t>
      </w:r>
      <w:r>
        <w:rPr>
          <w:lang w:val="en-GB"/>
        </w:rPr>
        <w:t>Herein, t</w:t>
      </w:r>
      <w:r w:rsidRPr="008D6601">
        <w:rPr>
          <w:lang w:val="en-GB"/>
        </w:rPr>
        <w:t xml:space="preserve">he extent to which this </w:t>
      </w:r>
      <w:r>
        <w:rPr>
          <w:lang w:val="en-GB"/>
        </w:rPr>
        <w:t xml:space="preserve">increasing homogeneity </w:t>
      </w:r>
      <w:r w:rsidRPr="008D6601">
        <w:rPr>
          <w:lang w:val="en-GB"/>
        </w:rPr>
        <w:t>is the case in elections has become the predominant perspective.</w:t>
      </w:r>
      <w:r>
        <w:rPr>
          <w:lang w:val="en-GB"/>
        </w:rPr>
        <w:t xml:space="preserve"> T</w:t>
      </w:r>
      <w:r w:rsidRPr="008D6601">
        <w:rPr>
          <w:lang w:val="en-GB"/>
        </w:rPr>
        <w:t xml:space="preserve">he bulk </w:t>
      </w:r>
      <w:r w:rsidRPr="008D6601">
        <w:rPr>
          <w:lang w:val="en-GB"/>
        </w:rPr>
        <w:lastRenderedPageBreak/>
        <w:t>of this research has been concerned with convergence in the composition of the electoral offer and the distribution of electoral success over time and across space.</w:t>
      </w:r>
      <w:r>
        <w:rPr>
          <w:lang w:val="en-GB"/>
        </w:rPr>
        <w:t xml:space="preserve"> Increasingly refined yardsticks have eventually spurned mixed empirical results. Whereas some have discerned a general trends towards nationalization, other accounts are more sceptical or emphasize its contingency (</w:t>
      </w:r>
      <w:proofErr w:type="spellStart"/>
      <w:r>
        <w:rPr>
          <w:lang w:val="en-GB"/>
        </w:rPr>
        <w:t>Caramani</w:t>
      </w:r>
      <w:proofErr w:type="spellEnd"/>
      <w:r>
        <w:rPr>
          <w:lang w:val="en-GB"/>
        </w:rPr>
        <w:t xml:space="preserve">, 2004; </w:t>
      </w:r>
      <w:r w:rsidRPr="008D6601">
        <w:rPr>
          <w:lang w:val="en-GB"/>
        </w:rPr>
        <w:t>Morgenstern &amp; Swindle, 2005</w:t>
      </w:r>
      <w:r>
        <w:rPr>
          <w:lang w:val="en-GB"/>
        </w:rPr>
        <w:t xml:space="preserve">).   </w:t>
      </w:r>
      <w:r w:rsidRPr="008D6601">
        <w:rPr>
          <w:lang w:val="en-GB"/>
        </w:rPr>
        <w:t xml:space="preserve"> </w:t>
      </w:r>
    </w:p>
    <w:p w14:paraId="1D59549C" w14:textId="77777777" w:rsidR="003C57F6" w:rsidRPr="008D6601" w:rsidRDefault="003C57F6" w:rsidP="003C57F6">
      <w:pPr>
        <w:jc w:val="both"/>
        <w:rPr>
          <w:lang w:val="en-GB"/>
        </w:rPr>
      </w:pPr>
      <w:r>
        <w:rPr>
          <w:lang w:val="en-GB"/>
        </w:rPr>
        <w:t>However, t</w:t>
      </w:r>
      <w:r w:rsidRPr="008D6601">
        <w:rPr>
          <w:lang w:val="en-GB"/>
        </w:rPr>
        <w:t>h</w:t>
      </w:r>
      <w:r>
        <w:rPr>
          <w:lang w:val="en-GB"/>
        </w:rPr>
        <w:t>is</w:t>
      </w:r>
      <w:r w:rsidRPr="008D6601">
        <w:rPr>
          <w:lang w:val="en-GB"/>
        </w:rPr>
        <w:t xml:space="preserve"> research is </w:t>
      </w:r>
      <w:r>
        <w:rPr>
          <w:lang w:val="en-GB"/>
        </w:rPr>
        <w:t>predominantly</w:t>
      </w:r>
      <w:r w:rsidRPr="008D6601">
        <w:rPr>
          <w:lang w:val="en-GB"/>
        </w:rPr>
        <w:t xml:space="preserve"> concerned with the state-wide level and actually addresses the territorial homogeneity of </w:t>
      </w:r>
      <w:r w:rsidRPr="008D6601">
        <w:rPr>
          <w:i/>
          <w:lang w:val="en-GB"/>
        </w:rPr>
        <w:t>national</w:t>
      </w:r>
      <w:r w:rsidRPr="008D6601">
        <w:rPr>
          <w:lang w:val="en-GB"/>
        </w:rPr>
        <w:t xml:space="preserve"> elections (with ‘local’ referring to the constituency level). To overcome this nationalism bias, several authors have pleaded a multilevel perspective </w:t>
      </w:r>
      <w:r>
        <w:rPr>
          <w:lang w:val="en-GB"/>
        </w:rPr>
        <w:t>enclosing</w:t>
      </w:r>
      <w:r w:rsidRPr="008D6601">
        <w:rPr>
          <w:lang w:val="en-GB"/>
        </w:rPr>
        <w:t xml:space="preserve"> the various subnational tiers </w:t>
      </w:r>
      <w:r>
        <w:rPr>
          <w:lang w:val="en-GB"/>
        </w:rPr>
        <w:t>for</w:t>
      </w:r>
      <w:r w:rsidRPr="008D6601">
        <w:rPr>
          <w:lang w:val="en-GB"/>
        </w:rPr>
        <w:t xml:space="preserve"> a more comprehensive and fine-grained view (</w:t>
      </w:r>
      <w:proofErr w:type="spellStart"/>
      <w:r w:rsidRPr="008D6601">
        <w:rPr>
          <w:lang w:val="en-GB"/>
        </w:rPr>
        <w:t>Deschouwer</w:t>
      </w:r>
      <w:proofErr w:type="spellEnd"/>
      <w:r w:rsidRPr="008D6601">
        <w:rPr>
          <w:lang w:val="en-GB"/>
        </w:rPr>
        <w:t xml:space="preserve">, 2003; </w:t>
      </w:r>
      <w:proofErr w:type="spellStart"/>
      <w:r w:rsidRPr="008D6601">
        <w:rPr>
          <w:lang w:val="en-GB"/>
        </w:rPr>
        <w:t>Mustillo</w:t>
      </w:r>
      <w:proofErr w:type="spellEnd"/>
      <w:r w:rsidRPr="008D6601">
        <w:rPr>
          <w:lang w:val="en-GB"/>
        </w:rPr>
        <w:t xml:space="preserve"> &amp; </w:t>
      </w:r>
      <w:proofErr w:type="spellStart"/>
      <w:r w:rsidRPr="008D6601">
        <w:rPr>
          <w:lang w:val="en-GB"/>
        </w:rPr>
        <w:t>Mustillo</w:t>
      </w:r>
      <w:proofErr w:type="spellEnd"/>
      <w:r w:rsidRPr="008D6601">
        <w:rPr>
          <w:lang w:val="en-GB"/>
        </w:rPr>
        <w:t xml:space="preserve">, 2012). This would include taking local elections as an alternative frame of reference for which relatively scarce evidence on longitudinal and cross-sectional nationalization is indeed available. Again, most of it pertains to the convergence of the partisan supply and success. </w:t>
      </w:r>
    </w:p>
    <w:p w14:paraId="070FA03E" w14:textId="77777777" w:rsidR="003C57F6" w:rsidRPr="003A53B3" w:rsidRDefault="003C57F6" w:rsidP="003C57F6">
      <w:pPr>
        <w:jc w:val="both"/>
        <w:rPr>
          <w:lang w:val="en-GB"/>
        </w:rPr>
      </w:pPr>
      <w:r>
        <w:rPr>
          <w:lang w:val="en-GB"/>
        </w:rPr>
        <w:t>Its</w:t>
      </w:r>
      <w:r w:rsidRPr="008D6601">
        <w:rPr>
          <w:lang w:val="en-GB"/>
        </w:rPr>
        <w:t xml:space="preserve"> emergence over time is often conceived as an indicator of a process of party politicization. This a central element in the work of </w:t>
      </w:r>
      <w:proofErr w:type="spellStart"/>
      <w:r w:rsidRPr="008D6601">
        <w:rPr>
          <w:lang w:val="en-GB"/>
        </w:rPr>
        <w:t>Rokkan</w:t>
      </w:r>
      <w:proofErr w:type="spellEnd"/>
      <w:r w:rsidRPr="008D6601">
        <w:rPr>
          <w:lang w:val="en-GB"/>
        </w:rPr>
        <w:t xml:space="preserve"> (1966: 244) associated with societal  modernization implying ‘[…] </w:t>
      </w:r>
      <w:r w:rsidRPr="008D6601">
        <w:rPr>
          <w:i/>
          <w:lang w:val="en-GB"/>
        </w:rPr>
        <w:t>the  breakdown  of  the  traditional  systems  of  local  rule  through  the  entry  of  nationally organized parties into municipal elections</w:t>
      </w:r>
      <w:r w:rsidRPr="008D6601">
        <w:rPr>
          <w:lang w:val="en-GB"/>
        </w:rPr>
        <w:t xml:space="preserve">’. </w:t>
      </w:r>
      <w:r>
        <w:rPr>
          <w:lang w:val="en-GB"/>
        </w:rPr>
        <w:t>Although</w:t>
      </w:r>
      <w:r w:rsidRPr="008D6601">
        <w:rPr>
          <w:lang w:val="en-GB"/>
        </w:rPr>
        <w:t xml:space="preserve"> this dynamic conception </w:t>
      </w:r>
      <w:r>
        <w:rPr>
          <w:lang w:val="en-GB"/>
        </w:rPr>
        <w:t xml:space="preserve">expects an almost teleological </w:t>
      </w:r>
      <w:r w:rsidRPr="008D6601">
        <w:rPr>
          <w:lang w:val="en-GB"/>
        </w:rPr>
        <w:t>take-over of local politics by national political parties</w:t>
      </w:r>
      <w:r>
        <w:rPr>
          <w:lang w:val="en-GB"/>
        </w:rPr>
        <w:t xml:space="preserve">, traditional non-partisan elements continue to hold local ground </w:t>
      </w:r>
      <w:r w:rsidRPr="008D6601">
        <w:rPr>
          <w:lang w:val="en-GB"/>
        </w:rPr>
        <w:t>(</w:t>
      </w:r>
      <w:proofErr w:type="spellStart"/>
      <w:r w:rsidRPr="008D6601">
        <w:rPr>
          <w:lang w:val="en-GB"/>
        </w:rPr>
        <w:t>Bäck</w:t>
      </w:r>
      <w:proofErr w:type="spellEnd"/>
      <w:r w:rsidRPr="008D6601">
        <w:rPr>
          <w:lang w:val="en-GB"/>
        </w:rPr>
        <w:t xml:space="preserve">, 2003; </w:t>
      </w:r>
      <w:proofErr w:type="spellStart"/>
      <w:r w:rsidRPr="008D6601">
        <w:rPr>
          <w:lang w:val="en-GB"/>
        </w:rPr>
        <w:t>Aars</w:t>
      </w:r>
      <w:proofErr w:type="spellEnd"/>
      <w:r w:rsidRPr="008D6601">
        <w:rPr>
          <w:lang w:val="en-GB"/>
        </w:rPr>
        <w:t xml:space="preserve"> &amp; </w:t>
      </w:r>
      <w:proofErr w:type="spellStart"/>
      <w:r w:rsidRPr="008D6601">
        <w:rPr>
          <w:lang w:val="en-GB"/>
        </w:rPr>
        <w:t>Ringkjøb</w:t>
      </w:r>
      <w:proofErr w:type="spellEnd"/>
      <w:r w:rsidRPr="008D6601">
        <w:rPr>
          <w:lang w:val="en-GB"/>
        </w:rPr>
        <w:t xml:space="preserve">, 2005; </w:t>
      </w:r>
      <w:proofErr w:type="spellStart"/>
      <w:r w:rsidRPr="008D6601">
        <w:rPr>
          <w:lang w:val="en-GB"/>
        </w:rPr>
        <w:t>Kjær</w:t>
      </w:r>
      <w:proofErr w:type="spellEnd"/>
      <w:r w:rsidRPr="008D6601">
        <w:rPr>
          <w:lang w:val="en-GB"/>
        </w:rPr>
        <w:t xml:space="preserve"> &amp; </w:t>
      </w:r>
      <w:proofErr w:type="spellStart"/>
      <w:r w:rsidRPr="008D6601">
        <w:rPr>
          <w:lang w:val="en-GB"/>
        </w:rPr>
        <w:t>Elklit</w:t>
      </w:r>
      <w:proofErr w:type="spellEnd"/>
      <w:r w:rsidRPr="008D6601">
        <w:rPr>
          <w:lang w:val="en-GB"/>
        </w:rPr>
        <w:t xml:space="preserve">, 2010b). </w:t>
      </w:r>
      <w:r w:rsidRPr="003A53B3">
        <w:rPr>
          <w:lang w:val="en-GB"/>
        </w:rPr>
        <w:t>Apart from remaining differences in the territorial anchorage of national political parties, this is due to the enduring presence and success of various type</w:t>
      </w:r>
      <w:r>
        <w:rPr>
          <w:lang w:val="en-GB"/>
        </w:rPr>
        <w:t>s</w:t>
      </w:r>
      <w:r w:rsidRPr="003A53B3">
        <w:rPr>
          <w:lang w:val="en-GB"/>
        </w:rPr>
        <w:t xml:space="preserve"> of non-national candidate lists in local polities (</w:t>
      </w:r>
      <w:proofErr w:type="spellStart"/>
      <w:r w:rsidRPr="003A53B3">
        <w:rPr>
          <w:lang w:val="en-GB"/>
        </w:rPr>
        <w:t>Reiser</w:t>
      </w:r>
      <w:proofErr w:type="spellEnd"/>
      <w:r w:rsidRPr="003A53B3">
        <w:rPr>
          <w:lang w:val="en-GB"/>
        </w:rPr>
        <w:t xml:space="preserve">, 2008; </w:t>
      </w:r>
      <w:proofErr w:type="spellStart"/>
      <w:r w:rsidRPr="003A53B3">
        <w:rPr>
          <w:lang w:val="en-GB"/>
        </w:rPr>
        <w:t>Copus</w:t>
      </w:r>
      <w:proofErr w:type="spellEnd"/>
      <w:r w:rsidRPr="003A53B3">
        <w:rPr>
          <w:lang w:val="en-GB"/>
        </w:rPr>
        <w:t xml:space="preserve"> et al., 2012). </w:t>
      </w:r>
    </w:p>
    <w:p w14:paraId="7D832D82" w14:textId="77777777" w:rsidR="003C57F6" w:rsidRPr="008D6601" w:rsidRDefault="003C57F6" w:rsidP="003C57F6">
      <w:pPr>
        <w:jc w:val="both"/>
        <w:rPr>
          <w:lang w:val="en-GB"/>
        </w:rPr>
      </w:pPr>
      <w:r w:rsidRPr="008D6601">
        <w:rPr>
          <w:lang w:val="en-GB"/>
        </w:rPr>
        <w:t>The cross-sectional approach then refers to the extent to which the national party political presence (the degree to which all state</w:t>
      </w:r>
      <w:r>
        <w:rPr>
          <w:lang w:val="en-GB"/>
        </w:rPr>
        <w:t>-</w:t>
      </w:r>
      <w:r w:rsidRPr="008D6601">
        <w:rPr>
          <w:lang w:val="en-GB"/>
        </w:rPr>
        <w:t>wide parties are competing) and/or performance (the grade of territorial homogeneity of their electoral results and governing</w:t>
      </w:r>
      <w:r>
        <w:rPr>
          <w:lang w:val="en-GB"/>
        </w:rPr>
        <w:t>)</w:t>
      </w:r>
      <w:r w:rsidRPr="008D6601">
        <w:rPr>
          <w:lang w:val="en-GB"/>
        </w:rPr>
        <w:t xml:space="preserve"> at a given local election are geographically alike (</w:t>
      </w:r>
      <w:proofErr w:type="spellStart"/>
      <w:r w:rsidRPr="008D6601">
        <w:rPr>
          <w:lang w:val="en-GB"/>
        </w:rPr>
        <w:t>Thorlakson</w:t>
      </w:r>
      <w:proofErr w:type="spellEnd"/>
      <w:r w:rsidRPr="008D6601">
        <w:rPr>
          <w:lang w:val="en-GB"/>
        </w:rPr>
        <w:t>, 2006). In line with most longitudinal findings, the sustenance of divergence in local party system nationalization is often emphasized. Based on a discrete measure</w:t>
      </w:r>
      <w:r>
        <w:rPr>
          <w:lang w:val="en-GB"/>
        </w:rPr>
        <w:t xml:space="preserve"> of their number </w:t>
      </w:r>
      <w:r w:rsidRPr="008D6601">
        <w:rPr>
          <w:lang w:val="en-GB"/>
        </w:rPr>
        <w:t xml:space="preserve">to assess multilevel partisan resemblance </w:t>
      </w:r>
      <w:proofErr w:type="spellStart"/>
      <w:r w:rsidRPr="008D6601">
        <w:rPr>
          <w:lang w:val="en-GB"/>
        </w:rPr>
        <w:t>Kjær</w:t>
      </w:r>
      <w:proofErr w:type="spellEnd"/>
      <w:r w:rsidRPr="008D6601">
        <w:rPr>
          <w:lang w:val="en-GB"/>
        </w:rPr>
        <w:t xml:space="preserve"> &amp; </w:t>
      </w:r>
      <w:proofErr w:type="spellStart"/>
      <w:r w:rsidRPr="008D6601">
        <w:rPr>
          <w:lang w:val="en-GB"/>
        </w:rPr>
        <w:t>Elklit</w:t>
      </w:r>
      <w:proofErr w:type="spellEnd"/>
      <w:r w:rsidRPr="008D6601">
        <w:rPr>
          <w:lang w:val="en-GB"/>
        </w:rPr>
        <w:t xml:space="preserve"> (2010a) confirmed the positive effect of </w:t>
      </w:r>
      <w:r w:rsidRPr="00AA5B4D">
        <w:rPr>
          <w:lang w:val="en-GB"/>
        </w:rPr>
        <w:t>municipal size</w:t>
      </w:r>
      <w:r w:rsidRPr="008D6601">
        <w:rPr>
          <w:lang w:val="en-GB"/>
        </w:rPr>
        <w:t xml:space="preserve"> on nationalization in terms of votes and seats in the Danish context whereas </w:t>
      </w:r>
      <w:r>
        <w:rPr>
          <w:lang w:val="en-GB"/>
        </w:rPr>
        <w:t xml:space="preserve">likewise </w:t>
      </w:r>
      <w:r w:rsidRPr="008D6601">
        <w:rPr>
          <w:lang w:val="en-GB"/>
        </w:rPr>
        <w:t>evidence for Austria (</w:t>
      </w:r>
      <w:proofErr w:type="spellStart"/>
      <w:r w:rsidRPr="008D6601">
        <w:rPr>
          <w:lang w:val="en-GB"/>
        </w:rPr>
        <w:t>Ensser</w:t>
      </w:r>
      <w:proofErr w:type="spellEnd"/>
      <w:r w:rsidRPr="008D6601">
        <w:rPr>
          <w:lang w:val="en-GB"/>
        </w:rPr>
        <w:t xml:space="preserve"> &amp; Hanssen, 2013) highlighted the </w:t>
      </w:r>
      <w:r w:rsidRPr="00AA5B4D">
        <w:rPr>
          <w:lang w:val="en-GB"/>
        </w:rPr>
        <w:t>(regional) degree of party organization</w:t>
      </w:r>
      <w:r w:rsidRPr="008D6601">
        <w:rPr>
          <w:lang w:val="en-GB"/>
        </w:rPr>
        <w:t xml:space="preserve"> as an </w:t>
      </w:r>
      <w:r>
        <w:rPr>
          <w:lang w:val="en-GB"/>
        </w:rPr>
        <w:t xml:space="preserve">additional </w:t>
      </w:r>
      <w:r w:rsidRPr="008D6601">
        <w:rPr>
          <w:lang w:val="en-GB"/>
        </w:rPr>
        <w:t xml:space="preserve">explanatory variable.    </w:t>
      </w:r>
    </w:p>
    <w:p w14:paraId="2C75BCE7" w14:textId="6DE1A33C" w:rsidR="003C57F6" w:rsidRDefault="003C57F6" w:rsidP="003C57F6">
      <w:pPr>
        <w:jc w:val="both"/>
        <w:rPr>
          <w:lang w:val="en-GB"/>
        </w:rPr>
      </w:pPr>
      <w:r w:rsidRPr="008D6601">
        <w:rPr>
          <w:lang w:val="en-GB"/>
        </w:rPr>
        <w:t xml:space="preserve">Similar tendencies </w:t>
      </w:r>
      <w:r>
        <w:rPr>
          <w:lang w:val="en-GB"/>
        </w:rPr>
        <w:t>occur in</w:t>
      </w:r>
      <w:r w:rsidRPr="008D6601">
        <w:rPr>
          <w:lang w:val="en-GB"/>
        </w:rPr>
        <w:t xml:space="preserve"> Belgium. In the long run, national parties have effectively superseded merely place-bound phenomena in local elections. Accelerated by municipal mergers in the mid-1970s national forces have gained imprint on the local soil (</w:t>
      </w:r>
      <w:proofErr w:type="spellStart"/>
      <w:r w:rsidRPr="008D6601">
        <w:rPr>
          <w:lang w:val="en-GB"/>
        </w:rPr>
        <w:t>Ackaert</w:t>
      </w:r>
      <w:proofErr w:type="spellEnd"/>
      <w:r w:rsidRPr="008D6601">
        <w:rPr>
          <w:lang w:val="en-GB"/>
        </w:rPr>
        <w:t xml:space="preserve">, 2006). </w:t>
      </w:r>
      <w:r>
        <w:rPr>
          <w:lang w:val="en-GB"/>
        </w:rPr>
        <w:t xml:space="preserve">Generally, a </w:t>
      </w:r>
      <w:r w:rsidRPr="008D6601">
        <w:rPr>
          <w:lang w:val="en-GB"/>
        </w:rPr>
        <w:t>straightforward and increasing nationalization cannot be discerned</w:t>
      </w:r>
      <w:r>
        <w:rPr>
          <w:lang w:val="en-GB"/>
        </w:rPr>
        <w:t xml:space="preserve">. </w:t>
      </w:r>
      <w:r w:rsidRPr="008D6601">
        <w:rPr>
          <w:lang w:val="en-GB"/>
        </w:rPr>
        <w:t xml:space="preserve">The presence, success and shifts of and between parties are not homogenous for the whole </w:t>
      </w:r>
      <w:r>
        <w:rPr>
          <w:lang w:val="en-GB"/>
        </w:rPr>
        <w:t xml:space="preserve">country. Local results </w:t>
      </w:r>
      <w:r w:rsidRPr="008D6601">
        <w:rPr>
          <w:lang w:val="en-GB"/>
        </w:rPr>
        <w:t xml:space="preserve">largely follow </w:t>
      </w:r>
      <w:r>
        <w:rPr>
          <w:lang w:val="en-GB"/>
        </w:rPr>
        <w:t>similar</w:t>
      </w:r>
      <w:r w:rsidRPr="008D6601">
        <w:rPr>
          <w:lang w:val="en-GB"/>
        </w:rPr>
        <w:t xml:space="preserve"> evolutions as those for national elections</w:t>
      </w:r>
      <w:r>
        <w:rPr>
          <w:lang w:val="en-GB"/>
        </w:rPr>
        <w:t xml:space="preserve"> but</w:t>
      </w:r>
      <w:r w:rsidRPr="008D6601">
        <w:rPr>
          <w:lang w:val="en-GB"/>
        </w:rPr>
        <w:t xml:space="preserve"> </w:t>
      </w:r>
      <w:r>
        <w:rPr>
          <w:lang w:val="en-GB"/>
        </w:rPr>
        <w:t>d</w:t>
      </w:r>
      <w:r w:rsidRPr="008D6601">
        <w:rPr>
          <w:lang w:val="en-GB"/>
        </w:rPr>
        <w:t>issimilarit</w:t>
      </w:r>
      <w:r>
        <w:rPr>
          <w:lang w:val="en-GB"/>
        </w:rPr>
        <w:t>ies continue</w:t>
      </w:r>
      <w:r w:rsidRPr="008D6601">
        <w:rPr>
          <w:lang w:val="en-GB"/>
        </w:rPr>
        <w:t xml:space="preserve"> to characterize the geographical division of party votes</w:t>
      </w:r>
      <w:r>
        <w:rPr>
          <w:lang w:val="en-GB"/>
        </w:rPr>
        <w:t xml:space="preserve"> </w:t>
      </w:r>
      <w:r w:rsidRPr="008D6601">
        <w:rPr>
          <w:lang w:val="en-GB"/>
        </w:rPr>
        <w:t>(</w:t>
      </w:r>
      <w:proofErr w:type="spellStart"/>
      <w:r w:rsidRPr="008D6601">
        <w:rPr>
          <w:lang w:val="en-GB"/>
        </w:rPr>
        <w:t>Wille</w:t>
      </w:r>
      <w:proofErr w:type="spellEnd"/>
      <w:r w:rsidRPr="008D6601">
        <w:rPr>
          <w:lang w:val="en-GB"/>
        </w:rPr>
        <w:t xml:space="preserve"> &amp; </w:t>
      </w:r>
      <w:proofErr w:type="spellStart"/>
      <w:r w:rsidRPr="008D6601">
        <w:rPr>
          <w:lang w:val="en-GB"/>
        </w:rPr>
        <w:t>Deschouwer</w:t>
      </w:r>
      <w:proofErr w:type="spellEnd"/>
      <w:r w:rsidRPr="008D6601">
        <w:rPr>
          <w:lang w:val="en-GB"/>
        </w:rPr>
        <w:t>, 2007).</w:t>
      </w:r>
      <w:r>
        <w:rPr>
          <w:lang w:val="en-GB"/>
        </w:rPr>
        <w:t xml:space="preserve"> Very much alike, supply sided evidence shows that the local party field is infused with national candidate-lists. Nevertheless, non-national counterparts have maintained their presence and contributed to the production of mixed or predominantly national local party systems in at least 70% of all municipalities</w:t>
      </w:r>
      <w:r w:rsidRPr="008D6601">
        <w:rPr>
          <w:lang w:val="en-GB"/>
        </w:rPr>
        <w:t xml:space="preserve"> (</w:t>
      </w:r>
      <w:r w:rsidR="008663A3">
        <w:rPr>
          <w:lang w:val="en-GB"/>
        </w:rPr>
        <w:t>Steyvers</w:t>
      </w:r>
      <w:r w:rsidRPr="008D6601">
        <w:rPr>
          <w:lang w:val="en-GB"/>
        </w:rPr>
        <w:t xml:space="preserve"> et al., 2008). </w:t>
      </w:r>
      <w:r>
        <w:rPr>
          <w:lang w:val="en-GB"/>
        </w:rPr>
        <w:t xml:space="preserve">In addition, using post-electoral coalition success as an indicator, local factors tend to predominate </w:t>
      </w:r>
      <w:r w:rsidRPr="008D6601">
        <w:rPr>
          <w:lang w:val="en-GB"/>
        </w:rPr>
        <w:t>with a keen eye on national considerations</w:t>
      </w:r>
      <w:r>
        <w:rPr>
          <w:lang w:val="en-GB"/>
        </w:rPr>
        <w:t xml:space="preserve"> </w:t>
      </w:r>
      <w:r w:rsidRPr="008D6601">
        <w:rPr>
          <w:lang w:val="en-GB"/>
        </w:rPr>
        <w:t>(</w:t>
      </w:r>
      <w:proofErr w:type="spellStart"/>
      <w:r w:rsidRPr="008D6601">
        <w:rPr>
          <w:lang w:val="en-GB"/>
        </w:rPr>
        <w:t>Olislagers</w:t>
      </w:r>
      <w:proofErr w:type="spellEnd"/>
      <w:r w:rsidRPr="008D6601">
        <w:rPr>
          <w:lang w:val="en-GB"/>
        </w:rPr>
        <w:t xml:space="preserve"> &amp; </w:t>
      </w:r>
      <w:r w:rsidR="008663A3">
        <w:rPr>
          <w:lang w:val="en-GB"/>
        </w:rPr>
        <w:t>Steyvers</w:t>
      </w:r>
      <w:r w:rsidRPr="008D6601">
        <w:rPr>
          <w:lang w:val="en-GB"/>
        </w:rPr>
        <w:t>, 2015).</w:t>
      </w:r>
    </w:p>
    <w:p w14:paraId="3BDCBA51" w14:textId="77777777" w:rsidR="003C57F6" w:rsidRDefault="003C57F6" w:rsidP="003C57F6">
      <w:pPr>
        <w:jc w:val="both"/>
        <w:rPr>
          <w:lang w:val="en-GB"/>
        </w:rPr>
      </w:pPr>
      <w:r>
        <w:rPr>
          <w:lang w:val="en-GB"/>
        </w:rPr>
        <w:lastRenderedPageBreak/>
        <w:t>Fragmented evidence also exists on other aspects of the nationalization of Belgian local politics. Probing into the rationales for municipal electoral choice stresses</w:t>
      </w:r>
      <w:r w:rsidRPr="008D6601">
        <w:rPr>
          <w:lang w:val="en-GB"/>
        </w:rPr>
        <w:t xml:space="preserve"> the </w:t>
      </w:r>
      <w:r>
        <w:rPr>
          <w:lang w:val="en-GB"/>
        </w:rPr>
        <w:t xml:space="preserve">limited </w:t>
      </w:r>
      <w:r w:rsidRPr="008D6601">
        <w:rPr>
          <w:lang w:val="en-GB"/>
        </w:rPr>
        <w:t xml:space="preserve">nationalization </w:t>
      </w:r>
      <w:r>
        <w:rPr>
          <w:lang w:val="en-GB"/>
        </w:rPr>
        <w:t>of individual voting behaviour. M</w:t>
      </w:r>
      <w:r w:rsidRPr="008D6601">
        <w:rPr>
          <w:lang w:val="en-GB"/>
        </w:rPr>
        <w:t>ore than</w:t>
      </w:r>
      <w:r>
        <w:rPr>
          <w:lang w:val="en-GB"/>
        </w:rPr>
        <w:t xml:space="preserve"> </w:t>
      </w:r>
      <w:r w:rsidRPr="008D6601">
        <w:rPr>
          <w:lang w:val="en-GB"/>
        </w:rPr>
        <w:t xml:space="preserve">60% </w:t>
      </w:r>
      <w:r>
        <w:rPr>
          <w:lang w:val="en-GB"/>
        </w:rPr>
        <w:t>o</w:t>
      </w:r>
      <w:r w:rsidRPr="008D6601">
        <w:rPr>
          <w:lang w:val="en-GB"/>
        </w:rPr>
        <w:t xml:space="preserve">f all reasons </w:t>
      </w:r>
      <w:r>
        <w:rPr>
          <w:lang w:val="en-GB"/>
        </w:rPr>
        <w:t xml:space="preserve">voters </w:t>
      </w:r>
      <w:r w:rsidRPr="008D6601">
        <w:rPr>
          <w:lang w:val="en-GB"/>
        </w:rPr>
        <w:t xml:space="preserve">mentioned as </w:t>
      </w:r>
      <w:r>
        <w:rPr>
          <w:lang w:val="en-GB"/>
        </w:rPr>
        <w:t>most important refer to local motives (</w:t>
      </w:r>
      <w:proofErr w:type="spellStart"/>
      <w:r>
        <w:rPr>
          <w:lang w:val="en-GB"/>
        </w:rPr>
        <w:t>Marien</w:t>
      </w:r>
      <w:proofErr w:type="spellEnd"/>
      <w:r>
        <w:rPr>
          <w:lang w:val="en-GB"/>
        </w:rPr>
        <w:t xml:space="preserve">, </w:t>
      </w:r>
      <w:proofErr w:type="spellStart"/>
      <w:r>
        <w:rPr>
          <w:lang w:val="en-GB"/>
        </w:rPr>
        <w:t>Dassonneville</w:t>
      </w:r>
      <w:proofErr w:type="spellEnd"/>
      <w:r>
        <w:rPr>
          <w:lang w:val="en-GB"/>
        </w:rPr>
        <w:t xml:space="preserve"> &amp; </w:t>
      </w:r>
      <w:proofErr w:type="spellStart"/>
      <w:r>
        <w:rPr>
          <w:lang w:val="en-GB"/>
        </w:rPr>
        <w:t>Hooghe</w:t>
      </w:r>
      <w:proofErr w:type="spellEnd"/>
      <w:r>
        <w:rPr>
          <w:lang w:val="en-GB"/>
        </w:rPr>
        <w:t>, 2015). Measuring organizational congruence displays the internal party structure varies strongly between local chapters of national parties (</w:t>
      </w:r>
      <w:proofErr w:type="spellStart"/>
      <w:r>
        <w:rPr>
          <w:lang w:val="en-GB"/>
        </w:rPr>
        <w:t>Deschouwer</w:t>
      </w:r>
      <w:proofErr w:type="spellEnd"/>
      <w:r>
        <w:rPr>
          <w:lang w:val="en-GB"/>
        </w:rPr>
        <w:t xml:space="preserve"> &amp; </w:t>
      </w:r>
      <w:proofErr w:type="spellStart"/>
      <w:r>
        <w:rPr>
          <w:lang w:val="en-GB"/>
        </w:rPr>
        <w:t>Rihoux</w:t>
      </w:r>
      <w:proofErr w:type="spellEnd"/>
      <w:r>
        <w:rPr>
          <w:lang w:val="en-GB"/>
        </w:rPr>
        <w:t>, 2008)</w:t>
      </w:r>
      <w:r w:rsidRPr="00597DB2">
        <w:rPr>
          <w:lang w:val="en-GB"/>
        </w:rPr>
        <w:t xml:space="preserve">. </w:t>
      </w:r>
    </w:p>
    <w:p w14:paraId="1DE48B72" w14:textId="77777777" w:rsidR="003C57F6" w:rsidRPr="00BE0281" w:rsidRDefault="003C57F6" w:rsidP="003C57F6">
      <w:pPr>
        <w:jc w:val="both"/>
        <w:rPr>
          <w:i/>
          <w:lang w:val="en-GB"/>
        </w:rPr>
      </w:pPr>
      <w:r w:rsidRPr="00BE0281">
        <w:rPr>
          <w:i/>
          <w:lang w:val="en-GB"/>
        </w:rPr>
        <w:t xml:space="preserve">Sharpening the focus on party ideology </w:t>
      </w:r>
    </w:p>
    <w:p w14:paraId="63C65BF8" w14:textId="77777777" w:rsidR="003C57F6" w:rsidRPr="0076490C" w:rsidRDefault="003C57F6" w:rsidP="003C57F6">
      <w:pPr>
        <w:jc w:val="both"/>
        <w:rPr>
          <w:noProof/>
          <w:lang w:val="en-US"/>
        </w:rPr>
      </w:pPr>
      <w:r>
        <w:rPr>
          <w:noProof/>
          <w:lang w:val="en-US"/>
        </w:rPr>
        <w:t>Thus</w:t>
      </w:r>
      <w:r w:rsidRPr="0076490C">
        <w:rPr>
          <w:noProof/>
          <w:lang w:val="en-US"/>
        </w:rPr>
        <w:t xml:space="preserve">, the existing evidence does not point to an overal nationalization of local politics. </w:t>
      </w:r>
      <w:r>
        <w:rPr>
          <w:noProof/>
          <w:lang w:val="en-US"/>
        </w:rPr>
        <w:t>Herein</w:t>
      </w:r>
      <w:r w:rsidRPr="0076490C">
        <w:rPr>
          <w:noProof/>
          <w:lang w:val="en-US"/>
        </w:rPr>
        <w:t>, ideology is an aspect that has often been neglected</w:t>
      </w:r>
      <w:r>
        <w:rPr>
          <w:noProof/>
          <w:lang w:val="en-US"/>
        </w:rPr>
        <w:t xml:space="preserve"> however</w:t>
      </w:r>
      <w:r w:rsidRPr="0076490C">
        <w:rPr>
          <w:noProof/>
          <w:lang w:val="en-US"/>
        </w:rPr>
        <w:t xml:space="preserve">. To which degree and under which circumstances can a pattern of territorial homogeneity in terms of </w:t>
      </w:r>
      <w:r>
        <w:rPr>
          <w:noProof/>
          <w:lang w:val="en-US"/>
        </w:rPr>
        <w:t xml:space="preserve">ideology </w:t>
      </w:r>
      <w:r w:rsidRPr="0076490C">
        <w:rPr>
          <w:noProof/>
          <w:lang w:val="en-US"/>
        </w:rPr>
        <w:t xml:space="preserve">be discerned? Given the electoral and multilevel partisan focus of our paper, the latter is delineated as the </w:t>
      </w:r>
      <w:r w:rsidRPr="0076490C">
        <w:rPr>
          <w:i/>
          <w:noProof/>
          <w:lang w:val="en-US"/>
        </w:rPr>
        <w:t xml:space="preserve">programmatic congruence </w:t>
      </w:r>
      <w:r>
        <w:rPr>
          <w:i/>
          <w:noProof/>
          <w:lang w:val="en-US"/>
        </w:rPr>
        <w:t>between</w:t>
      </w:r>
      <w:r w:rsidRPr="0076490C">
        <w:rPr>
          <w:i/>
          <w:noProof/>
          <w:lang w:val="en-US"/>
        </w:rPr>
        <w:t xml:space="preserve"> local chapters of national political parties </w:t>
      </w:r>
      <w:r>
        <w:rPr>
          <w:i/>
          <w:noProof/>
          <w:lang w:val="en-US"/>
        </w:rPr>
        <w:t xml:space="preserve">and </w:t>
      </w:r>
      <w:r w:rsidRPr="0076490C">
        <w:rPr>
          <w:i/>
          <w:noProof/>
          <w:lang w:val="en-US"/>
        </w:rPr>
        <w:t>their central headquarter in municipal elections</w:t>
      </w:r>
      <w:r w:rsidRPr="0076490C">
        <w:rPr>
          <w:noProof/>
          <w:lang w:val="en-US"/>
        </w:rPr>
        <w:t xml:space="preserve">.      </w:t>
      </w:r>
    </w:p>
    <w:p w14:paraId="4BC324D7" w14:textId="77777777" w:rsidR="003C57F6" w:rsidRDefault="003C57F6" w:rsidP="003C57F6">
      <w:pPr>
        <w:jc w:val="both"/>
        <w:rPr>
          <w:noProof/>
          <w:lang w:val="en-US"/>
        </w:rPr>
      </w:pPr>
      <w:r w:rsidRPr="0076490C">
        <w:rPr>
          <w:noProof/>
          <w:lang w:val="en-US"/>
        </w:rPr>
        <w:t xml:space="preserve">The literature is not very informative in this regard. Empirical research on </w:t>
      </w:r>
      <w:r w:rsidRPr="00AA5B4D">
        <w:rPr>
          <w:noProof/>
          <w:lang w:val="en-US"/>
        </w:rPr>
        <w:t>ideological nationalization of local elections</w:t>
      </w:r>
      <w:r w:rsidRPr="0076490C">
        <w:rPr>
          <w:noProof/>
          <w:lang w:val="en-US"/>
        </w:rPr>
        <w:t xml:space="preserve"> is limited and often focused on voting behaviour (Hajnal &amp; Trounstine, 2014). Integrated comparative evidence from a partisan perspective is virtually non-existent. However, clues in collections of country cases can be found (Saiz &amp; Geser, 1999). Also in Belg</w:t>
      </w:r>
      <w:r>
        <w:rPr>
          <w:noProof/>
          <w:lang w:val="en-US"/>
        </w:rPr>
        <w:t xml:space="preserve">ium, aspects of </w:t>
      </w:r>
      <w:r w:rsidRPr="0076490C">
        <w:rPr>
          <w:noProof/>
          <w:lang w:val="en-US"/>
        </w:rPr>
        <w:t>ideologi</w:t>
      </w:r>
      <w:r>
        <w:rPr>
          <w:noProof/>
          <w:lang w:val="en-US"/>
        </w:rPr>
        <w:t>c</w:t>
      </w:r>
      <w:r w:rsidRPr="0076490C">
        <w:rPr>
          <w:noProof/>
          <w:lang w:val="en-US"/>
        </w:rPr>
        <w:t>al congruence</w:t>
      </w:r>
      <w:r>
        <w:rPr>
          <w:noProof/>
          <w:lang w:val="en-US"/>
        </w:rPr>
        <w:t xml:space="preserve"> have been measured</w:t>
      </w:r>
      <w:r w:rsidRPr="0076490C">
        <w:rPr>
          <w:noProof/>
          <w:lang w:val="en-US"/>
        </w:rPr>
        <w:t>. In an elite-oriented approach key representatives of local branches were asked which issues they deemded important for their party in local elections</w:t>
      </w:r>
      <w:r>
        <w:rPr>
          <w:noProof/>
          <w:lang w:val="en-US"/>
        </w:rPr>
        <w:t xml:space="preserve"> (with nationalization depending on the pointing to identical issues by politicians from the same national party)</w:t>
      </w:r>
      <w:r w:rsidRPr="0076490C">
        <w:rPr>
          <w:noProof/>
          <w:lang w:val="en-US"/>
        </w:rPr>
        <w:t xml:space="preserve">. </w:t>
      </w:r>
      <w:r>
        <w:rPr>
          <w:noProof/>
          <w:lang w:val="en-US"/>
        </w:rPr>
        <w:t xml:space="preserve">Whereas </w:t>
      </w:r>
      <w:r w:rsidRPr="0076490C">
        <w:rPr>
          <w:noProof/>
          <w:lang w:val="en-US"/>
        </w:rPr>
        <w:t xml:space="preserve">Deschouwer (1996) did not find rock hard evidence for this type of ideological nationalization in </w:t>
      </w:r>
      <w:r>
        <w:rPr>
          <w:noProof/>
          <w:lang w:val="en-US"/>
        </w:rPr>
        <w:t>earlier</w:t>
      </w:r>
      <w:r w:rsidRPr="0076490C">
        <w:rPr>
          <w:noProof/>
          <w:lang w:val="en-US"/>
        </w:rPr>
        <w:t xml:space="preserve"> elections</w:t>
      </w:r>
      <w:r>
        <w:rPr>
          <w:noProof/>
          <w:lang w:val="en-US"/>
        </w:rPr>
        <w:t>,</w:t>
      </w:r>
      <w:r w:rsidRPr="0076490C">
        <w:rPr>
          <w:noProof/>
          <w:lang w:val="en-US"/>
        </w:rPr>
        <w:t xml:space="preserve"> follow-up for 2006 </w:t>
      </w:r>
      <w:r>
        <w:rPr>
          <w:noProof/>
          <w:lang w:val="en-US"/>
        </w:rPr>
        <w:t>oppositely saw</w:t>
      </w:r>
      <w:r w:rsidRPr="0076490C">
        <w:rPr>
          <w:noProof/>
          <w:lang w:val="en-US"/>
        </w:rPr>
        <w:t xml:space="preserve"> proof (Devos et al., 2007; Buelens et al., 2008). </w:t>
      </w:r>
    </w:p>
    <w:p w14:paraId="18692D97" w14:textId="77777777" w:rsidR="003C57F6" w:rsidRDefault="003C57F6" w:rsidP="003C57F6">
      <w:pPr>
        <w:jc w:val="both"/>
        <w:rPr>
          <w:noProof/>
          <w:lang w:val="en-US"/>
        </w:rPr>
      </w:pPr>
      <w:r>
        <w:rPr>
          <w:noProof/>
          <w:lang w:val="en-US"/>
        </w:rPr>
        <w:t>I</w:t>
      </w:r>
      <w:r w:rsidRPr="00644FA8">
        <w:rPr>
          <w:noProof/>
          <w:lang w:val="en-US"/>
        </w:rPr>
        <w:t xml:space="preserve">n line with established supra-local research on party ideologies we </w:t>
      </w:r>
      <w:r>
        <w:rPr>
          <w:noProof/>
          <w:lang w:val="en-US"/>
        </w:rPr>
        <w:t xml:space="preserve">alternatively </w:t>
      </w:r>
      <w:r w:rsidRPr="00644FA8">
        <w:rPr>
          <w:noProof/>
          <w:lang w:val="en-US"/>
        </w:rPr>
        <w:t>suggest an analysis of congruence based on manifestos instead of expert judgments</w:t>
      </w:r>
      <w:r>
        <w:rPr>
          <w:noProof/>
          <w:lang w:val="en-US"/>
        </w:rPr>
        <w:t xml:space="preserve"> outlined below</w:t>
      </w:r>
      <w:r w:rsidRPr="00644FA8">
        <w:rPr>
          <w:noProof/>
          <w:lang w:val="en-US"/>
        </w:rPr>
        <w:t>.</w:t>
      </w:r>
      <w:r w:rsidRPr="0076490C">
        <w:rPr>
          <w:noProof/>
          <w:lang w:val="en-US"/>
        </w:rPr>
        <w:t xml:space="preserve"> </w:t>
      </w:r>
      <w:r>
        <w:rPr>
          <w:noProof/>
          <w:lang w:val="en-US"/>
        </w:rPr>
        <w:t xml:space="preserve">Before, a few general assertions are needed as to why we would expect to confirm or reject ideological nationalization alltogehter. </w:t>
      </w:r>
    </w:p>
    <w:p w14:paraId="1606B966" w14:textId="77777777" w:rsidR="003C57F6" w:rsidRDefault="003C57F6" w:rsidP="003C57F6">
      <w:pPr>
        <w:jc w:val="both"/>
        <w:rPr>
          <w:noProof/>
          <w:lang w:val="en-US"/>
        </w:rPr>
      </w:pPr>
      <w:r>
        <w:rPr>
          <w:noProof/>
          <w:lang w:val="en-US"/>
        </w:rPr>
        <w:t>T</w:t>
      </w:r>
      <w:r w:rsidRPr="0076490C">
        <w:rPr>
          <w:noProof/>
          <w:lang w:val="en-US"/>
        </w:rPr>
        <w:t xml:space="preserve">here are several reasons to assume that there is indeed </w:t>
      </w:r>
      <w:r>
        <w:rPr>
          <w:noProof/>
          <w:lang w:val="en-US"/>
        </w:rPr>
        <w:t>such</w:t>
      </w:r>
      <w:r w:rsidRPr="0076490C">
        <w:rPr>
          <w:noProof/>
          <w:lang w:val="en-US"/>
        </w:rPr>
        <w:t xml:space="preserve"> ressemblance. First of all, the national party and its local divisions share a common ideological background. For instance, we may assume that green politicians at the local level will be in favor of environmental protection, just as their national counterparts are (Devos et al., 2007).</w:t>
      </w:r>
      <w:r>
        <w:rPr>
          <w:noProof/>
          <w:lang w:val="en-US"/>
        </w:rPr>
        <w:t xml:space="preserve"> </w:t>
      </w:r>
      <w:r w:rsidRPr="0076490C">
        <w:rPr>
          <w:noProof/>
          <w:lang w:val="en-US"/>
        </w:rPr>
        <w:t>Second, local branches are programmatically interesting because they add to</w:t>
      </w:r>
      <w:r>
        <w:rPr>
          <w:noProof/>
          <w:lang w:val="en-US"/>
        </w:rPr>
        <w:t xml:space="preserve"> the mobiliz</w:t>
      </w:r>
      <w:r w:rsidRPr="0076490C">
        <w:rPr>
          <w:noProof/>
          <w:lang w:val="en-US"/>
        </w:rPr>
        <w:t>ation capacities of national parties (Frendreis et al., 1990; Pedahzur &amp; Brichta</w:t>
      </w:r>
      <w:r>
        <w:rPr>
          <w:noProof/>
          <w:lang w:val="en-US"/>
        </w:rPr>
        <w:t>,</w:t>
      </w:r>
      <w:r w:rsidRPr="0076490C">
        <w:rPr>
          <w:noProof/>
          <w:lang w:val="en-US"/>
        </w:rPr>
        <w:t xml:space="preserve"> 2000). </w:t>
      </w:r>
      <w:r>
        <w:rPr>
          <w:noProof/>
          <w:lang w:val="en-US"/>
        </w:rPr>
        <w:t>As a result,</w:t>
      </w:r>
      <w:r w:rsidRPr="0076490C">
        <w:rPr>
          <w:noProof/>
          <w:lang w:val="en-US"/>
        </w:rPr>
        <w:t xml:space="preserve"> national headquarters provide substantial and practical support in election time. </w:t>
      </w:r>
      <w:r>
        <w:rPr>
          <w:noProof/>
          <w:lang w:val="en-US"/>
        </w:rPr>
        <w:t>This assistence can be merely functional, supplying localities with</w:t>
      </w:r>
      <w:r w:rsidRPr="0076490C">
        <w:rPr>
          <w:noProof/>
          <w:lang w:val="en-US"/>
        </w:rPr>
        <w:t xml:space="preserve"> templates </w:t>
      </w:r>
      <w:r>
        <w:rPr>
          <w:noProof/>
          <w:lang w:val="en-US"/>
        </w:rPr>
        <w:t>for posters and leaflets, b</w:t>
      </w:r>
      <w:r w:rsidRPr="0076490C">
        <w:rPr>
          <w:noProof/>
          <w:lang w:val="en-US"/>
        </w:rPr>
        <w:t xml:space="preserve">ut </w:t>
      </w:r>
      <w:r>
        <w:rPr>
          <w:noProof/>
          <w:lang w:val="en-US"/>
        </w:rPr>
        <w:t xml:space="preserve">could also include programmatic </w:t>
      </w:r>
      <w:hyperlink r:id="rId8" w:history="1">
        <w:r w:rsidRPr="007273F5">
          <w:rPr>
            <w:noProof/>
            <w:lang w:val="en-US"/>
          </w:rPr>
          <w:t>endeavours</w:t>
        </w:r>
      </w:hyperlink>
      <w:r w:rsidRPr="0076490C">
        <w:rPr>
          <w:noProof/>
          <w:lang w:val="en-US"/>
        </w:rPr>
        <w:t xml:space="preserve"> such as the provision of </w:t>
      </w:r>
      <w:r w:rsidRPr="00644FA8">
        <w:rPr>
          <w:noProof/>
          <w:lang w:val="en-US"/>
        </w:rPr>
        <w:t>a model program</w:t>
      </w:r>
      <w:r w:rsidRPr="0076490C">
        <w:rPr>
          <w:noProof/>
          <w:lang w:val="en-US"/>
        </w:rPr>
        <w:t xml:space="preserve">. </w:t>
      </w:r>
      <w:r>
        <w:rPr>
          <w:noProof/>
          <w:lang w:val="en-US"/>
        </w:rPr>
        <w:t>W</w:t>
      </w:r>
      <w:r w:rsidRPr="0076490C">
        <w:rPr>
          <w:noProof/>
          <w:lang w:val="en-US"/>
        </w:rPr>
        <w:t xml:space="preserve">riting an election manifesto is </w:t>
      </w:r>
      <w:r>
        <w:rPr>
          <w:noProof/>
          <w:lang w:val="en-US"/>
        </w:rPr>
        <w:t xml:space="preserve">a </w:t>
      </w:r>
      <w:r w:rsidRPr="0076490C">
        <w:rPr>
          <w:noProof/>
          <w:lang w:val="en-US"/>
        </w:rPr>
        <w:t xml:space="preserve">very time-consuming </w:t>
      </w:r>
      <w:r>
        <w:rPr>
          <w:noProof/>
          <w:lang w:val="en-US"/>
        </w:rPr>
        <w:t>activity for l</w:t>
      </w:r>
      <w:r w:rsidRPr="0076490C">
        <w:rPr>
          <w:noProof/>
          <w:lang w:val="en-US"/>
        </w:rPr>
        <w:t xml:space="preserve">ocal </w:t>
      </w:r>
      <w:r>
        <w:rPr>
          <w:noProof/>
          <w:lang w:val="en-US"/>
        </w:rPr>
        <w:t>actors who</w:t>
      </w:r>
      <w:r w:rsidRPr="0076490C">
        <w:rPr>
          <w:noProof/>
          <w:lang w:val="en-US"/>
        </w:rPr>
        <w:t xml:space="preserve"> are often not professional politicians</w:t>
      </w:r>
      <w:r>
        <w:rPr>
          <w:noProof/>
          <w:lang w:val="en-US"/>
        </w:rPr>
        <w:t xml:space="preserve">. Presenting spoon-fed policy proposals </w:t>
      </w:r>
      <w:r w:rsidRPr="0076490C">
        <w:rPr>
          <w:noProof/>
          <w:lang w:val="en-US"/>
        </w:rPr>
        <w:t xml:space="preserve">may come useful </w:t>
      </w:r>
      <w:r>
        <w:rPr>
          <w:noProof/>
          <w:lang w:val="en-US"/>
        </w:rPr>
        <w:t xml:space="preserve">in engaging election campaigns </w:t>
      </w:r>
      <w:r w:rsidRPr="0076490C">
        <w:rPr>
          <w:noProof/>
          <w:lang w:val="en-US"/>
        </w:rPr>
        <w:t>and (implicitely) lead to ideological nationalization.</w:t>
      </w:r>
      <w:r>
        <w:rPr>
          <w:noProof/>
          <w:lang w:val="en-US"/>
        </w:rPr>
        <w:t xml:space="preserve"> </w:t>
      </w:r>
    </w:p>
    <w:p w14:paraId="1B0332BB" w14:textId="77777777" w:rsidR="003C57F6" w:rsidRPr="0076490C" w:rsidRDefault="003C57F6" w:rsidP="003C57F6">
      <w:pPr>
        <w:jc w:val="both"/>
        <w:rPr>
          <w:noProof/>
          <w:lang w:val="en-US"/>
        </w:rPr>
      </w:pPr>
      <w:r w:rsidRPr="0076490C">
        <w:rPr>
          <w:noProof/>
          <w:lang w:val="en-US"/>
        </w:rPr>
        <w:t>Finally, we may assume that local parties will use issues</w:t>
      </w:r>
      <w:r>
        <w:rPr>
          <w:noProof/>
          <w:lang w:val="en-US"/>
        </w:rPr>
        <w:t xml:space="preserve"> claimed by their national party to their benefit</w:t>
      </w:r>
      <w:r w:rsidRPr="0076490C">
        <w:rPr>
          <w:noProof/>
          <w:lang w:val="en-US"/>
        </w:rPr>
        <w:t xml:space="preserve">. Issue ownership (Petrocik, 1996) is an important asset in times of elections since it increases the credibility of a party on certain matters. Moreover, national parties will probably try to avoid that </w:t>
      </w:r>
      <w:r w:rsidRPr="0076490C">
        <w:rPr>
          <w:noProof/>
          <w:lang w:val="en-US"/>
        </w:rPr>
        <w:lastRenderedPageBreak/>
        <w:t xml:space="preserve">their issue ownership gets corroded by local party branches who formulate diverging policies. For instance, we </w:t>
      </w:r>
      <w:r>
        <w:rPr>
          <w:noProof/>
          <w:lang w:val="en-US"/>
        </w:rPr>
        <w:t xml:space="preserve">believe that a </w:t>
      </w:r>
      <w:r w:rsidRPr="0076490C">
        <w:rPr>
          <w:noProof/>
          <w:lang w:val="en-US"/>
        </w:rPr>
        <w:t xml:space="preserve">socioeconomic rightist party would not </w:t>
      </w:r>
      <w:r>
        <w:rPr>
          <w:noProof/>
          <w:lang w:val="en-US"/>
        </w:rPr>
        <w:t>agree with</w:t>
      </w:r>
      <w:r w:rsidRPr="0076490C">
        <w:rPr>
          <w:noProof/>
          <w:lang w:val="en-US"/>
        </w:rPr>
        <w:t xml:space="preserve"> local branches </w:t>
      </w:r>
      <w:r>
        <w:rPr>
          <w:noProof/>
          <w:lang w:val="en-US"/>
        </w:rPr>
        <w:t>proposing several</w:t>
      </w:r>
      <w:r w:rsidRPr="0076490C">
        <w:rPr>
          <w:noProof/>
          <w:lang w:val="en-US"/>
        </w:rPr>
        <w:t xml:space="preserve"> local tax increases. Especially because it makes use of the national party brand. </w:t>
      </w:r>
      <w:r>
        <w:rPr>
          <w:noProof/>
          <w:lang w:val="en-US"/>
        </w:rPr>
        <w:t xml:space="preserve">Indeed, according to the franchise party model (Carty, 2004), parties increasingly behave as </w:t>
      </w:r>
      <w:r w:rsidRPr="0076490C">
        <w:rPr>
          <w:noProof/>
          <w:lang w:val="en-US"/>
        </w:rPr>
        <w:t>stratarchically organized organizations</w:t>
      </w:r>
      <w:r>
        <w:rPr>
          <w:noProof/>
          <w:lang w:val="en-US"/>
        </w:rPr>
        <w:t xml:space="preserve">. </w:t>
      </w:r>
      <w:r w:rsidRPr="0076490C">
        <w:rPr>
          <w:noProof/>
          <w:lang w:val="en-US"/>
        </w:rPr>
        <w:t>The central party is responsible for the party brand and the local branches can use it for their local campaigns</w:t>
      </w:r>
      <w:r>
        <w:rPr>
          <w:noProof/>
          <w:lang w:val="en-US"/>
        </w:rPr>
        <w:t xml:space="preserve">. </w:t>
      </w:r>
      <w:r w:rsidRPr="0076490C">
        <w:rPr>
          <w:noProof/>
          <w:lang w:val="en-US"/>
        </w:rPr>
        <w:t xml:space="preserve">This is electorally profitable because local politicians can identify themselves with a reliable, well-known ‘product’ which voters can rely on. Although Carty (2004: 13) acknowledges that divergent manifestos are possible within the framework of the franchise party, he states that the decision-making on the main programmatic issues is for the most part a central matter because it ensures: “ […] </w:t>
      </w:r>
      <w:r w:rsidRPr="0076490C">
        <w:rPr>
          <w:i/>
          <w:noProof/>
          <w:lang w:val="en-US"/>
        </w:rPr>
        <w:t>that the party is providing a consistent message to its supporters and the electorate</w:t>
      </w:r>
      <w:r w:rsidRPr="0076490C">
        <w:rPr>
          <w:noProof/>
          <w:lang w:val="en-US"/>
        </w:rPr>
        <w:t xml:space="preserve">”. </w:t>
      </w:r>
      <w:r>
        <w:rPr>
          <w:noProof/>
          <w:lang w:val="en-US"/>
        </w:rPr>
        <w:t xml:space="preserve">Research in Belgium demonstrated </w:t>
      </w:r>
      <w:r w:rsidRPr="0076490C">
        <w:rPr>
          <w:noProof/>
          <w:lang w:val="en-US"/>
        </w:rPr>
        <w:t>an informal deliberation can be organized when ideological inconsistenc</w:t>
      </w:r>
      <w:r>
        <w:rPr>
          <w:noProof/>
          <w:lang w:val="en-US"/>
        </w:rPr>
        <w:t>ies occur between the manifesto</w:t>
      </w:r>
      <w:r w:rsidRPr="0076490C">
        <w:rPr>
          <w:noProof/>
          <w:lang w:val="en-US"/>
        </w:rPr>
        <w:t xml:space="preserve">s of local parties and the national program (Devos et al., 2007).  </w:t>
      </w:r>
    </w:p>
    <w:p w14:paraId="64BDFE02" w14:textId="77777777" w:rsidR="003C57F6" w:rsidRDefault="003C57F6" w:rsidP="003C57F6">
      <w:pPr>
        <w:jc w:val="both"/>
        <w:rPr>
          <w:noProof/>
          <w:lang w:val="en-US"/>
        </w:rPr>
      </w:pPr>
      <w:r w:rsidRPr="0076490C">
        <w:rPr>
          <w:noProof/>
          <w:lang w:val="en-US"/>
        </w:rPr>
        <w:t xml:space="preserve">The </w:t>
      </w:r>
      <w:r>
        <w:rPr>
          <w:noProof/>
          <w:lang w:val="en-US"/>
        </w:rPr>
        <w:t>first</w:t>
      </w:r>
      <w:r w:rsidRPr="0076490C">
        <w:rPr>
          <w:noProof/>
          <w:lang w:val="en-US"/>
        </w:rPr>
        <w:t xml:space="preserve"> reason to assume that there may be </w:t>
      </w:r>
      <w:r w:rsidRPr="00AA5B4D">
        <w:rPr>
          <w:noProof/>
          <w:lang w:val="en-US"/>
        </w:rPr>
        <w:t>little</w:t>
      </w:r>
      <w:r w:rsidRPr="0076490C">
        <w:rPr>
          <w:noProof/>
          <w:lang w:val="en-US"/>
        </w:rPr>
        <w:t xml:space="preserve"> congruence between the ideology of the local party branches and their national headquarters is that the local level has other tasks and competences </w:t>
      </w:r>
      <w:r>
        <w:rPr>
          <w:noProof/>
          <w:lang w:val="en-US"/>
        </w:rPr>
        <w:t>to deal</w:t>
      </w:r>
      <w:r w:rsidRPr="0076490C">
        <w:rPr>
          <w:noProof/>
          <w:lang w:val="en-US"/>
        </w:rPr>
        <w:t xml:space="preserve"> with </w:t>
      </w:r>
      <w:r>
        <w:rPr>
          <w:noProof/>
          <w:lang w:val="en-US"/>
        </w:rPr>
        <w:t>municipal-specific</w:t>
      </w:r>
      <w:r w:rsidRPr="0076490C">
        <w:rPr>
          <w:noProof/>
          <w:lang w:val="en-US"/>
        </w:rPr>
        <w:t xml:space="preserve"> </w:t>
      </w:r>
      <w:r>
        <w:rPr>
          <w:noProof/>
          <w:lang w:val="en-US"/>
        </w:rPr>
        <w:t>issues</w:t>
      </w:r>
      <w:r w:rsidRPr="0076490C">
        <w:rPr>
          <w:noProof/>
          <w:lang w:val="en-US"/>
        </w:rPr>
        <w:t xml:space="preserve">. Evidently, in abstract all governmental levels share </w:t>
      </w:r>
      <w:r>
        <w:rPr>
          <w:noProof/>
          <w:lang w:val="en-US"/>
        </w:rPr>
        <w:t xml:space="preserve">similar problems. </w:t>
      </w:r>
      <w:r w:rsidRPr="0076490C">
        <w:rPr>
          <w:noProof/>
          <w:lang w:val="en-US"/>
        </w:rPr>
        <w:t>For instance</w:t>
      </w:r>
      <w:r>
        <w:rPr>
          <w:noProof/>
          <w:lang w:val="en-US"/>
        </w:rPr>
        <w:t>,</w:t>
      </w:r>
      <w:r w:rsidRPr="0076490C">
        <w:rPr>
          <w:noProof/>
          <w:lang w:val="en-US"/>
        </w:rPr>
        <w:t xml:space="preserve"> both levels make decisions on taxes. But each municipality, small or large, has its own specific problems. In a large city, traffic may be a big problem while a rural municipality may be faced with the problem of depopulation. </w:t>
      </w:r>
    </w:p>
    <w:p w14:paraId="67C676E7" w14:textId="77777777" w:rsidR="003C57F6" w:rsidRPr="00833454" w:rsidRDefault="003C57F6" w:rsidP="003C57F6">
      <w:pPr>
        <w:jc w:val="both"/>
        <w:rPr>
          <w:lang w:val="en-US"/>
        </w:rPr>
      </w:pPr>
      <w:r w:rsidRPr="0076490C">
        <w:rPr>
          <w:noProof/>
          <w:lang w:val="en-US"/>
        </w:rPr>
        <w:t>S</w:t>
      </w:r>
      <w:r>
        <w:rPr>
          <w:noProof/>
          <w:lang w:val="en-US"/>
        </w:rPr>
        <w:t>econdly, some</w:t>
      </w:r>
      <w:r w:rsidRPr="0076490C">
        <w:rPr>
          <w:noProof/>
          <w:lang w:val="en-US"/>
        </w:rPr>
        <w:t xml:space="preserve"> interpretations even conceive local politics as less ideological alltogether. In these, local self-government is seen as largely outside the political sphere and merely factual and harmonic. </w:t>
      </w:r>
      <w:r>
        <w:rPr>
          <w:lang w:val="en-US"/>
        </w:rPr>
        <w:t xml:space="preserve">Concordance among actors to strive for the ‘technically’ best solution is the preferred mode of public decision-making. The non-political (i.e. non-partisan) conception of local politics is enhanced by the relative small scale of the local polity reducing the potential role of parties as aggregators of various interests and stressing the importance of personal relations (Copus et al., 2012). </w:t>
      </w:r>
      <w:r w:rsidRPr="0076490C">
        <w:rPr>
          <w:noProof/>
          <w:lang w:val="en-US"/>
        </w:rPr>
        <w:t xml:space="preserve">Hence, the assertion of Ackaert (2006: 113) that in Belgium local politics is first and foremost </w:t>
      </w:r>
      <w:r w:rsidRPr="00AA5B4D">
        <w:rPr>
          <w:noProof/>
          <w:lang w:val="en-US"/>
        </w:rPr>
        <w:t xml:space="preserve">a matter </w:t>
      </w:r>
      <w:r w:rsidRPr="0034098B">
        <w:rPr>
          <w:noProof/>
          <w:lang w:val="en-US"/>
        </w:rPr>
        <w:t>for local politicians</w:t>
      </w:r>
      <w:r w:rsidRPr="0076490C">
        <w:rPr>
          <w:noProof/>
          <w:lang w:val="en-US"/>
        </w:rPr>
        <w:t>. These assumptions woul</w:t>
      </w:r>
      <w:r>
        <w:rPr>
          <w:noProof/>
          <w:lang w:val="en-US"/>
        </w:rPr>
        <w:t>d mean that the party manifesto</w:t>
      </w:r>
      <w:r w:rsidRPr="0076490C">
        <w:rPr>
          <w:noProof/>
          <w:lang w:val="en-US"/>
        </w:rPr>
        <w:t xml:space="preserve">s of local branches can diverge considerably from the national programmatic preferences.    </w:t>
      </w:r>
    </w:p>
    <w:p w14:paraId="6125B92F" w14:textId="3088BD49" w:rsidR="000E2035" w:rsidRDefault="00750F2B" w:rsidP="0076490C">
      <w:pPr>
        <w:jc w:val="both"/>
        <w:rPr>
          <w:b/>
          <w:noProof/>
          <w:lang w:val="en-US"/>
        </w:rPr>
      </w:pPr>
      <w:r>
        <w:rPr>
          <w:b/>
          <w:noProof/>
          <w:lang w:val="en-US"/>
        </w:rPr>
        <w:t>Applied m</w:t>
      </w:r>
      <w:r w:rsidRPr="000E2035">
        <w:rPr>
          <w:b/>
          <w:noProof/>
          <w:lang w:val="en-US"/>
        </w:rPr>
        <w:t>ethod</w:t>
      </w:r>
      <w:r>
        <w:rPr>
          <w:b/>
          <w:noProof/>
          <w:lang w:val="en-US"/>
        </w:rPr>
        <w:t>ology</w:t>
      </w:r>
      <w:r w:rsidRPr="000E2035">
        <w:rPr>
          <w:b/>
          <w:noProof/>
          <w:lang w:val="en-US"/>
        </w:rPr>
        <w:t xml:space="preserve"> </w:t>
      </w:r>
      <w:r w:rsidR="000E2035" w:rsidRPr="000E2035">
        <w:rPr>
          <w:b/>
          <w:noProof/>
          <w:lang w:val="en-US"/>
        </w:rPr>
        <w:t>and data</w:t>
      </w:r>
    </w:p>
    <w:p w14:paraId="117F9D9E" w14:textId="2A69D3C6" w:rsidR="00FA18FE" w:rsidRDefault="00B53B47" w:rsidP="00731B65">
      <w:pPr>
        <w:autoSpaceDE w:val="0"/>
        <w:autoSpaceDN w:val="0"/>
        <w:adjustRightInd w:val="0"/>
        <w:jc w:val="both"/>
        <w:rPr>
          <w:noProof/>
          <w:lang w:val="en-US"/>
        </w:rPr>
      </w:pPr>
      <w:r>
        <w:rPr>
          <w:noProof/>
          <w:lang w:val="en-US"/>
        </w:rPr>
        <w:t>E</w:t>
      </w:r>
      <w:r w:rsidR="000E2035" w:rsidRPr="000E2035">
        <w:rPr>
          <w:noProof/>
          <w:lang w:val="en-US"/>
        </w:rPr>
        <w:t xml:space="preserve">xisting research on ideological nationalization </w:t>
      </w:r>
      <w:r w:rsidR="003E2AF3">
        <w:rPr>
          <w:noProof/>
          <w:lang w:val="en-US"/>
        </w:rPr>
        <w:t xml:space="preserve">primarily </w:t>
      </w:r>
      <w:r w:rsidR="000E2035" w:rsidRPr="000E2035">
        <w:rPr>
          <w:noProof/>
          <w:lang w:val="en-US"/>
        </w:rPr>
        <w:t>use</w:t>
      </w:r>
      <w:r w:rsidR="003E2AF3">
        <w:rPr>
          <w:noProof/>
          <w:lang w:val="en-US"/>
        </w:rPr>
        <w:t>s</w:t>
      </w:r>
      <w:r w:rsidR="000E2035" w:rsidRPr="000E2035">
        <w:rPr>
          <w:noProof/>
          <w:lang w:val="en-US"/>
        </w:rPr>
        <w:t xml:space="preserve"> </w:t>
      </w:r>
      <w:r w:rsidR="003E2AF3">
        <w:rPr>
          <w:noProof/>
          <w:lang w:val="en-US"/>
        </w:rPr>
        <w:t xml:space="preserve">elite </w:t>
      </w:r>
      <w:r w:rsidR="000E2035" w:rsidRPr="000E2035">
        <w:rPr>
          <w:noProof/>
          <w:lang w:val="en-US"/>
        </w:rPr>
        <w:t xml:space="preserve">survey data </w:t>
      </w:r>
      <w:r>
        <w:rPr>
          <w:noProof/>
          <w:lang w:val="en-US"/>
        </w:rPr>
        <w:t xml:space="preserve">which has </w:t>
      </w:r>
      <w:r w:rsidR="00731B65">
        <w:rPr>
          <w:noProof/>
          <w:lang w:val="en-US"/>
        </w:rPr>
        <w:t xml:space="preserve">several </w:t>
      </w:r>
      <w:r>
        <w:rPr>
          <w:noProof/>
          <w:lang w:val="en-US"/>
        </w:rPr>
        <w:t>important disadvantages</w:t>
      </w:r>
      <w:r w:rsidR="000E2035" w:rsidRPr="000E2035">
        <w:rPr>
          <w:noProof/>
          <w:lang w:val="en-US"/>
        </w:rPr>
        <w:t xml:space="preserve"> (Deschouwer 1996; Devos et al. 2007; Buelens et al. 2008). </w:t>
      </w:r>
      <w:r w:rsidR="00731B65">
        <w:rPr>
          <w:noProof/>
          <w:lang w:val="en-US"/>
        </w:rPr>
        <w:t>For example, it cannot be ruled out that politicians express their own opinion or of their faction instead of the whole party.</w:t>
      </w:r>
      <w:r w:rsidR="00750F2B">
        <w:rPr>
          <w:noProof/>
          <w:lang w:val="en-US"/>
        </w:rPr>
        <w:t xml:space="preserve"> </w:t>
      </w:r>
      <w:r w:rsidR="003E2AF3">
        <w:rPr>
          <w:noProof/>
          <w:lang w:val="en-US"/>
        </w:rPr>
        <w:t xml:space="preserve">In this paper, </w:t>
      </w:r>
      <w:r w:rsidR="000E2035" w:rsidRPr="000E2035">
        <w:rPr>
          <w:noProof/>
          <w:lang w:val="en-US"/>
        </w:rPr>
        <w:t>we</w:t>
      </w:r>
      <w:r w:rsidR="00731B65">
        <w:rPr>
          <w:noProof/>
          <w:lang w:val="en-US"/>
        </w:rPr>
        <w:t xml:space="preserve"> therefore suggest a</w:t>
      </w:r>
      <w:r w:rsidR="00386A18">
        <w:rPr>
          <w:noProof/>
          <w:lang w:val="en-US"/>
        </w:rPr>
        <w:t xml:space="preserve"> more </w:t>
      </w:r>
      <w:r w:rsidR="00731B65">
        <w:rPr>
          <w:noProof/>
          <w:lang w:val="en-US"/>
        </w:rPr>
        <w:t>reliable</w:t>
      </w:r>
      <w:r w:rsidR="00750F2B">
        <w:rPr>
          <w:noProof/>
          <w:lang w:val="en-US"/>
        </w:rPr>
        <w:t xml:space="preserve"> approach by </w:t>
      </w:r>
      <w:r w:rsidR="000E2035" w:rsidRPr="000E2035">
        <w:rPr>
          <w:noProof/>
          <w:lang w:val="en-US"/>
        </w:rPr>
        <w:t>analysi</w:t>
      </w:r>
      <w:r w:rsidR="00750F2B">
        <w:rPr>
          <w:noProof/>
          <w:lang w:val="en-US"/>
        </w:rPr>
        <w:t>ng</w:t>
      </w:r>
      <w:r w:rsidR="000E2035" w:rsidRPr="000E2035">
        <w:rPr>
          <w:noProof/>
          <w:lang w:val="en-US"/>
        </w:rPr>
        <w:t xml:space="preserve"> congruence based on </w:t>
      </w:r>
      <w:r w:rsidR="000E2035">
        <w:rPr>
          <w:noProof/>
          <w:lang w:val="en-US"/>
        </w:rPr>
        <w:t xml:space="preserve">party </w:t>
      </w:r>
      <w:r w:rsidR="00B835B7">
        <w:rPr>
          <w:noProof/>
          <w:lang w:val="en-US"/>
        </w:rPr>
        <w:t>manifesto</w:t>
      </w:r>
      <w:r w:rsidR="000E2035" w:rsidRPr="000E2035">
        <w:rPr>
          <w:noProof/>
          <w:lang w:val="en-US"/>
        </w:rPr>
        <w:t>s.</w:t>
      </w:r>
      <w:r w:rsidR="003E2AF3">
        <w:rPr>
          <w:noProof/>
          <w:lang w:val="en-US"/>
        </w:rPr>
        <w:t xml:space="preserve"> </w:t>
      </w:r>
      <w:r w:rsidR="00084F7D">
        <w:rPr>
          <w:noProof/>
          <w:lang w:val="en-US"/>
        </w:rPr>
        <w:t xml:space="preserve">Directly </w:t>
      </w:r>
      <w:r w:rsidR="000E2035" w:rsidRPr="000E2035">
        <w:rPr>
          <w:noProof/>
          <w:lang w:val="en-US"/>
        </w:rPr>
        <w:t>analyzing manifestos</w:t>
      </w:r>
      <w:r w:rsidR="00084F7D">
        <w:rPr>
          <w:noProof/>
          <w:lang w:val="en-US"/>
        </w:rPr>
        <w:t xml:space="preserve"> should</w:t>
      </w:r>
      <w:r w:rsidR="000E2035" w:rsidRPr="000E2035">
        <w:rPr>
          <w:noProof/>
          <w:lang w:val="en-US"/>
        </w:rPr>
        <w:t xml:space="preserve"> avoid possible subjectivity. </w:t>
      </w:r>
      <w:r w:rsidR="00731B65">
        <w:rPr>
          <w:noProof/>
          <w:lang w:val="en-US"/>
        </w:rPr>
        <w:t xml:space="preserve">Moreover, these </w:t>
      </w:r>
      <w:r w:rsidR="000E2035" w:rsidRPr="000E2035">
        <w:rPr>
          <w:noProof/>
          <w:lang w:val="en-US"/>
        </w:rPr>
        <w:t xml:space="preserve">programs are the result of internal discussions and are usually approved by a body of the party. In other words, a manifesto represents the whole party </w:t>
      </w:r>
      <w:r w:rsidR="00750F2B">
        <w:rPr>
          <w:noProof/>
          <w:lang w:val="en-US"/>
        </w:rPr>
        <w:t xml:space="preserve">and its ideology </w:t>
      </w:r>
      <w:r w:rsidR="000E2035" w:rsidRPr="000E2035">
        <w:rPr>
          <w:noProof/>
          <w:lang w:val="en-US"/>
        </w:rPr>
        <w:t>(Budge 1987:</w:t>
      </w:r>
      <w:r w:rsidR="00731B65">
        <w:rPr>
          <w:noProof/>
          <w:lang w:val="en-US"/>
        </w:rPr>
        <w:t>18; Gemenis and Dinas 2010:181).</w:t>
      </w:r>
    </w:p>
    <w:p w14:paraId="2F14C34F" w14:textId="4E2E04ED" w:rsidR="003D1027" w:rsidRPr="00962990" w:rsidRDefault="00750F2B" w:rsidP="00386A18">
      <w:pPr>
        <w:autoSpaceDE w:val="0"/>
        <w:autoSpaceDN w:val="0"/>
        <w:adjustRightInd w:val="0"/>
        <w:jc w:val="both"/>
        <w:rPr>
          <w:rFonts w:cs="Calibri"/>
          <w:lang w:val="en-US" w:eastAsia="nl-BE"/>
        </w:rPr>
      </w:pPr>
      <w:r>
        <w:rPr>
          <w:noProof/>
          <w:lang w:val="en-US"/>
        </w:rPr>
        <w:t>Also, b</w:t>
      </w:r>
      <w:r w:rsidRPr="000E2035">
        <w:rPr>
          <w:noProof/>
          <w:lang w:val="en-US"/>
        </w:rPr>
        <w:t xml:space="preserve">y </w:t>
      </w:r>
      <w:r w:rsidR="000E2035" w:rsidRPr="000E2035">
        <w:rPr>
          <w:noProof/>
          <w:lang w:val="en-US"/>
        </w:rPr>
        <w:t>choos</w:t>
      </w:r>
      <w:r w:rsidR="00B835B7">
        <w:rPr>
          <w:noProof/>
          <w:lang w:val="en-US"/>
        </w:rPr>
        <w:t>ing party manifesto</w:t>
      </w:r>
      <w:r w:rsidR="000E2035" w:rsidRPr="000E2035">
        <w:rPr>
          <w:noProof/>
          <w:lang w:val="en-US"/>
        </w:rPr>
        <w:t>s as the level of analysis, we join an internationally reknown research tradition for ideological research of parties at the national level</w:t>
      </w:r>
      <w:r>
        <w:rPr>
          <w:noProof/>
          <w:lang w:val="en-US"/>
        </w:rPr>
        <w:t>, like t</w:t>
      </w:r>
      <w:r w:rsidR="000E2035" w:rsidRPr="000E2035">
        <w:rPr>
          <w:noProof/>
          <w:lang w:val="en-US"/>
        </w:rPr>
        <w:t>he Comparative Manifesto Project (CMP) (Klingemann et al., 2006; Volkens et al., 2013</w:t>
      </w:r>
      <w:r w:rsidR="00766F7A">
        <w:rPr>
          <w:noProof/>
          <w:lang w:val="en-US"/>
        </w:rPr>
        <w:t>). This paper</w:t>
      </w:r>
      <w:r w:rsidR="009313BD">
        <w:rPr>
          <w:noProof/>
          <w:lang w:val="en-US"/>
        </w:rPr>
        <w:t xml:space="preserve"> </w:t>
      </w:r>
      <w:r w:rsidR="00DE0067" w:rsidRPr="00DE0067">
        <w:rPr>
          <w:noProof/>
          <w:lang w:val="en-US"/>
        </w:rPr>
        <w:t>partly copie</w:t>
      </w:r>
      <w:r w:rsidR="00766F7A">
        <w:rPr>
          <w:noProof/>
          <w:lang w:val="en-US"/>
        </w:rPr>
        <w:t>s</w:t>
      </w:r>
      <w:r w:rsidR="00DE0067" w:rsidRPr="00DE0067">
        <w:rPr>
          <w:noProof/>
          <w:lang w:val="en-US"/>
        </w:rPr>
        <w:t xml:space="preserve"> the CMP approach</w:t>
      </w:r>
      <w:r>
        <w:rPr>
          <w:noProof/>
          <w:lang w:val="en-US"/>
        </w:rPr>
        <w:t xml:space="preserve"> </w:t>
      </w:r>
      <w:r w:rsidR="00DE0067" w:rsidRPr="00DE0067">
        <w:rPr>
          <w:noProof/>
          <w:lang w:val="en-US"/>
        </w:rPr>
        <w:t>to the local level.</w:t>
      </w:r>
      <w:r w:rsidR="00874AC4">
        <w:rPr>
          <w:noProof/>
          <w:lang w:val="en-US"/>
        </w:rPr>
        <w:t xml:space="preserve"> </w:t>
      </w:r>
      <w:r w:rsidR="00766F7A">
        <w:rPr>
          <w:noProof/>
          <w:lang w:val="en-US"/>
        </w:rPr>
        <w:t>For example</w:t>
      </w:r>
      <w:r w:rsidR="009313BD">
        <w:rPr>
          <w:noProof/>
          <w:lang w:val="en-US"/>
        </w:rPr>
        <w:t>,</w:t>
      </w:r>
      <w:r w:rsidR="00B25678" w:rsidRPr="00962990">
        <w:rPr>
          <w:noProof/>
          <w:lang w:val="en-US"/>
        </w:rPr>
        <w:t xml:space="preserve"> we </w:t>
      </w:r>
      <w:r w:rsidR="00766F7A">
        <w:rPr>
          <w:noProof/>
          <w:lang w:val="en-US"/>
        </w:rPr>
        <w:t xml:space="preserve">also </w:t>
      </w:r>
      <w:r w:rsidR="00B25678" w:rsidRPr="00962990">
        <w:rPr>
          <w:noProof/>
          <w:lang w:val="en-US"/>
        </w:rPr>
        <w:t xml:space="preserve">chose to code on salience </w:t>
      </w:r>
      <w:r w:rsidR="00E42453" w:rsidRPr="00962990">
        <w:rPr>
          <w:noProof/>
          <w:lang w:val="en-US"/>
        </w:rPr>
        <w:t xml:space="preserve">and </w:t>
      </w:r>
      <w:r w:rsidR="00B25678" w:rsidRPr="00962990">
        <w:rPr>
          <w:noProof/>
          <w:lang w:val="en-US"/>
        </w:rPr>
        <w:t>not</w:t>
      </w:r>
      <w:r w:rsidR="00E42453" w:rsidRPr="00962990">
        <w:rPr>
          <w:noProof/>
          <w:lang w:val="en-US"/>
        </w:rPr>
        <w:t xml:space="preserve"> on</w:t>
      </w:r>
      <w:r w:rsidR="00B25678" w:rsidRPr="00962990">
        <w:rPr>
          <w:noProof/>
          <w:lang w:val="en-US"/>
        </w:rPr>
        <w:t xml:space="preserve"> position. </w:t>
      </w:r>
      <w:r w:rsidR="00C06CFF" w:rsidRPr="00C06CFF">
        <w:rPr>
          <w:noProof/>
          <w:lang w:val="en-US"/>
        </w:rPr>
        <w:t xml:space="preserve">Although there are reasons to assume that </w:t>
      </w:r>
      <w:r w:rsidR="00766F7A">
        <w:rPr>
          <w:noProof/>
          <w:lang w:val="en-US"/>
        </w:rPr>
        <w:t>identifying positions</w:t>
      </w:r>
      <w:r w:rsidR="00C06CFF" w:rsidRPr="00C06CFF">
        <w:rPr>
          <w:noProof/>
          <w:lang w:val="en-US"/>
        </w:rPr>
        <w:t xml:space="preserve"> could be beneficial (e.g. Pellikaan et </w:t>
      </w:r>
      <w:r w:rsidR="00C06CFF" w:rsidRPr="00C06CFF">
        <w:rPr>
          <w:noProof/>
          <w:lang w:val="en-US"/>
        </w:rPr>
        <w:lastRenderedPageBreak/>
        <w:t>al., 2003; De Lange, 2007; Gemenis and Dinas, 2010; Meguid 2005; Janda et al., 1995)</w:t>
      </w:r>
      <w:r w:rsidR="00C06CFF">
        <w:rPr>
          <w:noProof/>
          <w:lang w:val="en-US"/>
        </w:rPr>
        <w:t>,</w:t>
      </w:r>
      <w:r w:rsidR="00C06CFF" w:rsidRPr="00C06CFF">
        <w:rPr>
          <w:noProof/>
          <w:lang w:val="en-US"/>
        </w:rPr>
        <w:t xml:space="preserve"> we are convinced that those insights would only have a marginal added value for our specific research question. In theory, local branches can contradict the central headquarters but still keep in mind that they all share a common ideological baseline. We can therefore expect that policy positions will not fundamentally diverge.</w:t>
      </w:r>
      <w:r w:rsidR="00C06CFF">
        <w:rPr>
          <w:noProof/>
          <w:lang w:val="en-US"/>
        </w:rPr>
        <w:t xml:space="preserve"> </w:t>
      </w:r>
      <w:r w:rsidR="00386A18">
        <w:rPr>
          <w:noProof/>
          <w:lang w:val="en-US"/>
        </w:rPr>
        <w:t>Secondly, our coding process also follows CMP guidelines</w:t>
      </w:r>
      <w:r w:rsidR="00CA13EE" w:rsidRPr="00C06CFF">
        <w:rPr>
          <w:vertAlign w:val="superscript"/>
        </w:rPr>
        <w:endnoteReference w:id="1"/>
      </w:r>
      <w:r w:rsidR="00386A18">
        <w:rPr>
          <w:noProof/>
          <w:lang w:val="en-US"/>
        </w:rPr>
        <w:t xml:space="preserve"> </w:t>
      </w:r>
      <w:r w:rsidR="00386A18" w:rsidRPr="00F0507B">
        <w:rPr>
          <w:noProof/>
          <w:lang w:val="en-US"/>
        </w:rPr>
        <w:t>(Volkens, 2002:3-4).</w:t>
      </w:r>
      <w:r w:rsidR="00CA13EE">
        <w:rPr>
          <w:noProof/>
          <w:lang w:val="en-US"/>
        </w:rPr>
        <w:t xml:space="preserve"> Ultimately, a new coding scheme arose focussing on local competences and containing 19 categories</w:t>
      </w:r>
      <w:r w:rsidR="00CA13EE">
        <w:rPr>
          <w:rStyle w:val="EndnoteReference"/>
          <w:noProof/>
          <w:lang w:val="en-US"/>
        </w:rPr>
        <w:endnoteReference w:id="2"/>
      </w:r>
      <w:r w:rsidR="00CA13EE">
        <w:rPr>
          <w:noProof/>
          <w:lang w:val="en-US"/>
        </w:rPr>
        <w:t>. The entire scheme can be found in</w:t>
      </w:r>
      <w:r w:rsidR="00C06CFF">
        <w:rPr>
          <w:noProof/>
          <w:lang w:val="en-US"/>
        </w:rPr>
        <w:t xml:space="preserve"> the </w:t>
      </w:r>
      <w:r w:rsidR="00CA13EE">
        <w:rPr>
          <w:noProof/>
          <w:lang w:val="en-US"/>
        </w:rPr>
        <w:t>a</w:t>
      </w:r>
      <w:r w:rsidR="00C06CFF">
        <w:rPr>
          <w:noProof/>
          <w:lang w:val="en-US"/>
        </w:rPr>
        <w:t>p</w:t>
      </w:r>
      <w:r w:rsidR="00CA13EE">
        <w:rPr>
          <w:noProof/>
          <w:lang w:val="en-US"/>
        </w:rPr>
        <w:t xml:space="preserve">pendix. </w:t>
      </w:r>
      <w:r w:rsidR="00C06CFF" w:rsidRPr="00C06CFF">
        <w:rPr>
          <w:noProof/>
          <w:lang w:val="en-US"/>
        </w:rPr>
        <w:t>An inter-coder reliability test was performed between the main c</w:t>
      </w:r>
      <w:r w:rsidR="00C06CFF">
        <w:rPr>
          <w:noProof/>
          <w:lang w:val="en-US"/>
        </w:rPr>
        <w:t>oder and one independent coder and w</w:t>
      </w:r>
      <w:r w:rsidR="00C06CFF" w:rsidRPr="00C06CFF">
        <w:rPr>
          <w:noProof/>
          <w:lang w:val="en-US"/>
        </w:rPr>
        <w:t>as calculated</w:t>
      </w:r>
      <w:r w:rsidR="00C06CFF">
        <w:rPr>
          <w:noProof/>
          <w:lang w:val="en-US"/>
        </w:rPr>
        <w:t xml:space="preserve"> with the Fleiss’ Kappa measure. We</w:t>
      </w:r>
      <w:r w:rsidR="00C06CFF" w:rsidRPr="00C06CFF">
        <w:rPr>
          <w:noProof/>
          <w:lang w:val="en-US"/>
        </w:rPr>
        <w:t xml:space="preserve"> tested if both coders would classify the same quasi sentences into the same category. Our results exceeded the expected threshold of .7 (Fleiss’ Kappa = .71).</w:t>
      </w:r>
    </w:p>
    <w:p w14:paraId="4A774E59" w14:textId="1CC007AF" w:rsidR="004A71FD" w:rsidRPr="004A71FD" w:rsidRDefault="000E2035" w:rsidP="004A71FD">
      <w:pPr>
        <w:autoSpaceDE w:val="0"/>
        <w:autoSpaceDN w:val="0"/>
        <w:adjustRightInd w:val="0"/>
        <w:jc w:val="both"/>
        <w:rPr>
          <w:noProof/>
          <w:lang w:val="en-US"/>
        </w:rPr>
      </w:pPr>
      <w:r w:rsidRPr="000E2035">
        <w:rPr>
          <w:noProof/>
          <w:lang w:val="en-US"/>
        </w:rPr>
        <w:t xml:space="preserve">To investigate the ideological nationalization of local </w:t>
      </w:r>
      <w:r w:rsidR="00F0507B">
        <w:rPr>
          <w:noProof/>
          <w:lang w:val="en-US"/>
        </w:rPr>
        <w:t>politics</w:t>
      </w:r>
      <w:r w:rsidRPr="000E2035">
        <w:rPr>
          <w:noProof/>
          <w:lang w:val="en-US"/>
        </w:rPr>
        <w:t xml:space="preserve">, we </w:t>
      </w:r>
      <w:r w:rsidR="00F0507B">
        <w:rPr>
          <w:noProof/>
          <w:lang w:val="en-US"/>
        </w:rPr>
        <w:t>coded</w:t>
      </w:r>
      <w:r w:rsidRPr="000E2035">
        <w:rPr>
          <w:noProof/>
          <w:lang w:val="en-US"/>
        </w:rPr>
        <w:t xml:space="preserve"> </w:t>
      </w:r>
      <w:r w:rsidR="00874AC4">
        <w:rPr>
          <w:noProof/>
          <w:lang w:val="en-US"/>
        </w:rPr>
        <w:t xml:space="preserve">both the local election program and </w:t>
      </w:r>
      <w:r w:rsidRPr="000E2035">
        <w:rPr>
          <w:noProof/>
          <w:lang w:val="en-US"/>
        </w:rPr>
        <w:t xml:space="preserve">the </w:t>
      </w:r>
      <w:r w:rsidR="00874AC4">
        <w:rPr>
          <w:noProof/>
          <w:lang w:val="en-US"/>
        </w:rPr>
        <w:t xml:space="preserve">(national) </w:t>
      </w:r>
      <w:r w:rsidRPr="00F0507B">
        <w:rPr>
          <w:noProof/>
          <w:lang w:val="en-US"/>
        </w:rPr>
        <w:t>model program</w:t>
      </w:r>
      <w:r w:rsidRPr="000E2035">
        <w:rPr>
          <w:noProof/>
          <w:lang w:val="en-US"/>
        </w:rPr>
        <w:t xml:space="preserve"> use</w:t>
      </w:r>
      <w:r w:rsidR="00874AC4">
        <w:rPr>
          <w:noProof/>
          <w:lang w:val="en-US"/>
        </w:rPr>
        <w:t>d</w:t>
      </w:r>
      <w:r w:rsidRPr="000E2035">
        <w:rPr>
          <w:noProof/>
          <w:lang w:val="en-US"/>
        </w:rPr>
        <w:t xml:space="preserve"> as an example for the local </w:t>
      </w:r>
      <w:r w:rsidR="00556DB0">
        <w:rPr>
          <w:noProof/>
          <w:lang w:val="en-US"/>
        </w:rPr>
        <w:t>party branches. These manifesto</w:t>
      </w:r>
      <w:r w:rsidRPr="000E2035">
        <w:rPr>
          <w:noProof/>
          <w:lang w:val="en-US"/>
        </w:rPr>
        <w:t>s are designed and approved by the national party board</w:t>
      </w:r>
      <w:r w:rsidR="00B53B47">
        <w:rPr>
          <w:noProof/>
          <w:lang w:val="en-US"/>
        </w:rPr>
        <w:t xml:space="preserve"> </w:t>
      </w:r>
      <w:r w:rsidRPr="000E2035">
        <w:rPr>
          <w:noProof/>
          <w:lang w:val="en-US"/>
        </w:rPr>
        <w:t xml:space="preserve">can therefore be used as an ideological guideline. </w:t>
      </w:r>
      <w:r w:rsidR="004A71FD" w:rsidRPr="004A71FD">
        <w:rPr>
          <w:noProof/>
          <w:lang w:val="en-US"/>
        </w:rPr>
        <w:t xml:space="preserve">The coding of the manifestos enables us </w:t>
      </w:r>
      <w:r w:rsidR="004A71FD" w:rsidRPr="0034098B">
        <w:rPr>
          <w:noProof/>
          <w:lang w:val="en-US"/>
        </w:rPr>
        <w:t>to calculate the relative attention for a category</w:t>
      </w:r>
      <w:r w:rsidR="004A71FD" w:rsidRPr="004A71FD">
        <w:rPr>
          <w:noProof/>
          <w:lang w:val="en-US"/>
        </w:rPr>
        <w:t xml:space="preserve"> (issue) in</w:t>
      </w:r>
      <w:r w:rsidR="00337BC8">
        <w:rPr>
          <w:noProof/>
          <w:lang w:val="en-US"/>
        </w:rPr>
        <w:t xml:space="preserve"> each </w:t>
      </w:r>
      <w:r w:rsidR="004A71FD" w:rsidRPr="004A71FD">
        <w:rPr>
          <w:noProof/>
          <w:lang w:val="en-US"/>
        </w:rPr>
        <w:t>party manifesto. These percentages are then used to calculate the Relative Nationalization Score (RNS) of a local election manifesto, i.e. the degree of resemblance between the election manifesto of local branches and the model program.</w:t>
      </w:r>
      <w:r w:rsidR="00337BC8">
        <w:rPr>
          <w:noProof/>
          <w:lang w:val="en-US"/>
        </w:rPr>
        <w:t xml:space="preserve"> </w:t>
      </w:r>
      <w:r w:rsidR="004A71FD" w:rsidRPr="004A71FD">
        <w:rPr>
          <w:noProof/>
          <w:lang w:val="en-US"/>
        </w:rPr>
        <w:t xml:space="preserve">First of all, for each of the categories the difference is calculated between the relative attention for a category in the local manifesto and the national manifesto. Afterwards, the sum of these 19 differences is calculated. By taking the sum of all relative differences, we avoid that large discrepancies between categories have a significant impact on the RNS. </w:t>
      </w:r>
      <w:r w:rsidR="00C8619A">
        <w:rPr>
          <w:noProof/>
          <w:lang w:val="en-US"/>
        </w:rPr>
        <w:t>The</w:t>
      </w:r>
      <w:r w:rsidR="004A71FD" w:rsidRPr="004A71FD">
        <w:rPr>
          <w:noProof/>
          <w:lang w:val="en-US"/>
        </w:rPr>
        <w:t xml:space="preserve"> </w:t>
      </w:r>
      <w:r w:rsidR="00C8619A">
        <w:rPr>
          <w:noProof/>
          <w:lang w:val="en-US"/>
        </w:rPr>
        <w:t>average score would conceal small and large resemblances between certain categories</w:t>
      </w:r>
      <w:r w:rsidR="004A71FD" w:rsidRPr="004A71FD">
        <w:rPr>
          <w:noProof/>
          <w:lang w:val="en-US"/>
        </w:rPr>
        <w:t xml:space="preserve">. Next, the sum is divided by 200 (%), this is the maximum possible difference in relative attention between the model program and the manifesto of the local party branche. Finally, we substracted 1 from this score and took the absolute value to create the RNS. This is merely an esthetic intervention, making the endresult a score between 0 (perfect localization) and 1 (perfect nationalization). </w:t>
      </w:r>
    </w:p>
    <w:p w14:paraId="5E059C20" w14:textId="77777777" w:rsidR="004A71FD" w:rsidRPr="008D4C5B" w:rsidRDefault="004A71FD" w:rsidP="008D4C5B">
      <w:pPr>
        <w:autoSpaceDE w:val="0"/>
        <w:autoSpaceDN w:val="0"/>
        <w:adjustRightInd w:val="0"/>
        <w:spacing w:after="0"/>
        <w:jc w:val="center"/>
        <w:rPr>
          <w:i/>
          <w:noProof/>
          <w:lang w:val="en-US"/>
        </w:rPr>
      </w:pPr>
      <w:r w:rsidRPr="008D4C5B">
        <w:rPr>
          <w:i/>
          <w:noProof/>
          <w:lang w:val="en-US"/>
        </w:rPr>
        <w:t>RNS = [ ( ∑ |pl –pn| / n ) -1 ]</w:t>
      </w:r>
    </w:p>
    <w:p w14:paraId="184351C4" w14:textId="77777777" w:rsidR="004A71FD" w:rsidRPr="008D4C5B" w:rsidRDefault="004A71FD" w:rsidP="008D4C5B">
      <w:pPr>
        <w:autoSpaceDE w:val="0"/>
        <w:autoSpaceDN w:val="0"/>
        <w:adjustRightInd w:val="0"/>
        <w:spacing w:after="0"/>
        <w:jc w:val="center"/>
        <w:rPr>
          <w:i/>
          <w:noProof/>
          <w:lang w:val="en-US"/>
        </w:rPr>
      </w:pPr>
    </w:p>
    <w:p w14:paraId="69A49362" w14:textId="77777777" w:rsidR="004A71FD" w:rsidRPr="008D4C5B" w:rsidRDefault="004A71FD" w:rsidP="008D4C5B">
      <w:pPr>
        <w:autoSpaceDE w:val="0"/>
        <w:autoSpaceDN w:val="0"/>
        <w:adjustRightInd w:val="0"/>
        <w:spacing w:after="0"/>
        <w:jc w:val="center"/>
        <w:rPr>
          <w:i/>
          <w:noProof/>
          <w:lang w:val="en-US"/>
        </w:rPr>
      </w:pPr>
      <w:r w:rsidRPr="008D4C5B">
        <w:rPr>
          <w:i/>
          <w:noProof/>
          <w:lang w:val="en-US"/>
        </w:rPr>
        <w:t>Pl = relative attention of the local manifesto</w:t>
      </w:r>
    </w:p>
    <w:p w14:paraId="69B705DE" w14:textId="77777777" w:rsidR="004A71FD" w:rsidRPr="008D4C5B" w:rsidRDefault="004A71FD" w:rsidP="008D4C5B">
      <w:pPr>
        <w:autoSpaceDE w:val="0"/>
        <w:autoSpaceDN w:val="0"/>
        <w:adjustRightInd w:val="0"/>
        <w:spacing w:after="0"/>
        <w:jc w:val="center"/>
        <w:rPr>
          <w:i/>
          <w:noProof/>
          <w:lang w:val="en-US"/>
        </w:rPr>
      </w:pPr>
      <w:r w:rsidRPr="008D4C5B">
        <w:rPr>
          <w:i/>
          <w:noProof/>
          <w:lang w:val="en-US"/>
        </w:rPr>
        <w:t>pn = relative attention of the national manifesto</w:t>
      </w:r>
    </w:p>
    <w:p w14:paraId="2D690BBD" w14:textId="77777777" w:rsidR="004A71FD" w:rsidRPr="004A71FD" w:rsidRDefault="004A71FD" w:rsidP="008D4C5B">
      <w:pPr>
        <w:autoSpaceDE w:val="0"/>
        <w:autoSpaceDN w:val="0"/>
        <w:adjustRightInd w:val="0"/>
        <w:jc w:val="center"/>
        <w:rPr>
          <w:noProof/>
          <w:lang w:val="en-US"/>
        </w:rPr>
      </w:pPr>
      <w:r w:rsidRPr="008D4C5B">
        <w:rPr>
          <w:i/>
          <w:noProof/>
          <w:lang w:val="en-US"/>
        </w:rPr>
        <w:t>n = maximum theoretical difference</w:t>
      </w:r>
    </w:p>
    <w:p w14:paraId="7AFCCFCC" w14:textId="1523E64B" w:rsidR="00DA66B2" w:rsidRDefault="00337BC8" w:rsidP="00FE0B0E">
      <w:pPr>
        <w:autoSpaceDE w:val="0"/>
        <w:autoSpaceDN w:val="0"/>
        <w:adjustRightInd w:val="0"/>
        <w:jc w:val="both"/>
        <w:rPr>
          <w:lang w:val="en-US"/>
        </w:rPr>
      </w:pPr>
      <w:r>
        <w:rPr>
          <w:noProof/>
          <w:lang w:val="en-US"/>
        </w:rPr>
        <w:t>The m</w:t>
      </w:r>
      <w:r w:rsidRPr="00FE0B0E">
        <w:rPr>
          <w:noProof/>
          <w:lang w:val="en-US"/>
        </w:rPr>
        <w:t xml:space="preserve">anual </w:t>
      </w:r>
      <w:r w:rsidR="00FE0B0E" w:rsidRPr="00FE0B0E">
        <w:rPr>
          <w:noProof/>
          <w:lang w:val="en-US"/>
        </w:rPr>
        <w:t xml:space="preserve">coding of manifestos is </w:t>
      </w:r>
      <w:r w:rsidR="002B3616">
        <w:rPr>
          <w:noProof/>
          <w:lang w:val="en-US"/>
        </w:rPr>
        <w:t>a</w:t>
      </w:r>
      <w:r w:rsidR="00FE0B0E" w:rsidRPr="00FE0B0E">
        <w:rPr>
          <w:noProof/>
          <w:lang w:val="en-US"/>
        </w:rPr>
        <w:t xml:space="preserve"> labour intensive process. As a result, not all party manifestos of all Flemish municipalities for the elections of 2012 were coded. Our dataset consists of a total of 89 local election programmes</w:t>
      </w:r>
      <w:r w:rsidR="00F01574">
        <w:rPr>
          <w:rStyle w:val="EndnoteReference"/>
          <w:noProof/>
          <w:lang w:val="en-US"/>
        </w:rPr>
        <w:endnoteReference w:id="3"/>
      </w:r>
      <w:r w:rsidR="00FE0B0E" w:rsidRPr="00FE0B0E">
        <w:rPr>
          <w:noProof/>
          <w:lang w:val="en-US"/>
        </w:rPr>
        <w:t xml:space="preserve">. All cases were selected to create an approximately equal distribution between </w:t>
      </w:r>
      <w:r w:rsidR="00FE0B0E" w:rsidRPr="00F01574">
        <w:rPr>
          <w:noProof/>
          <w:lang w:val="en-US"/>
        </w:rPr>
        <w:t xml:space="preserve">the </w:t>
      </w:r>
      <w:r w:rsidR="00F01574" w:rsidRPr="00F01574">
        <w:rPr>
          <w:noProof/>
          <w:lang w:val="en-US"/>
        </w:rPr>
        <w:t>municipal</w:t>
      </w:r>
      <w:r w:rsidR="00F01574" w:rsidRPr="00F01574">
        <w:rPr>
          <w:i/>
          <w:noProof/>
          <w:lang w:val="en-US"/>
        </w:rPr>
        <w:t xml:space="preserve"> </w:t>
      </w:r>
      <w:r w:rsidR="00F01574" w:rsidRPr="00F01574">
        <w:rPr>
          <w:noProof/>
          <w:lang w:val="en-US"/>
        </w:rPr>
        <w:t>size</w:t>
      </w:r>
      <w:r w:rsidR="00FE0B0E" w:rsidRPr="00FE0B0E">
        <w:rPr>
          <w:noProof/>
          <w:lang w:val="en-US"/>
        </w:rPr>
        <w:t xml:space="preserve"> </w:t>
      </w:r>
      <w:r w:rsidR="00F01574">
        <w:rPr>
          <w:noProof/>
          <w:lang w:val="en-US"/>
        </w:rPr>
        <w:t>and 7 flemish parties</w:t>
      </w:r>
      <w:r w:rsidR="00DA66B2">
        <w:rPr>
          <w:rStyle w:val="EndnoteReference"/>
          <w:noProof/>
          <w:lang w:val="en-US"/>
        </w:rPr>
        <w:endnoteReference w:id="4"/>
      </w:r>
      <w:r w:rsidR="00F01574">
        <w:rPr>
          <w:noProof/>
          <w:lang w:val="en-US"/>
        </w:rPr>
        <w:t>. Because of the relatively small number of large cities in Belgium</w:t>
      </w:r>
      <w:r w:rsidR="002B3616">
        <w:rPr>
          <w:noProof/>
          <w:lang w:val="en-US"/>
        </w:rPr>
        <w:t>,</w:t>
      </w:r>
      <w:r w:rsidR="00F01574">
        <w:rPr>
          <w:noProof/>
          <w:lang w:val="en-US"/>
        </w:rPr>
        <w:t xml:space="preserve"> </w:t>
      </w:r>
      <w:r w:rsidR="00FE0B0E" w:rsidRPr="00FE0B0E">
        <w:rPr>
          <w:noProof/>
          <w:lang w:val="en-US"/>
        </w:rPr>
        <w:t xml:space="preserve">most cities </w:t>
      </w:r>
      <w:r w:rsidR="002B3616">
        <w:rPr>
          <w:noProof/>
          <w:lang w:val="en-US"/>
        </w:rPr>
        <w:t>are not unique in the sample size</w:t>
      </w:r>
      <w:r w:rsidR="00FE0B0E" w:rsidRPr="00FE0B0E">
        <w:rPr>
          <w:noProof/>
          <w:lang w:val="en-US"/>
        </w:rPr>
        <w:t xml:space="preserve">. </w:t>
      </w:r>
      <w:r w:rsidR="002B3616">
        <w:rPr>
          <w:noProof/>
          <w:lang w:val="en-US"/>
        </w:rPr>
        <w:t>Hence,</w:t>
      </w:r>
      <w:r w:rsidR="00F01574">
        <w:rPr>
          <w:noProof/>
          <w:lang w:val="en-US"/>
        </w:rPr>
        <w:t xml:space="preserve"> 89 cases does not equal 89 municipalities. </w:t>
      </w:r>
      <w:r w:rsidR="00FE0B0E" w:rsidRPr="00FE0B0E">
        <w:rPr>
          <w:noProof/>
          <w:lang w:val="en-US"/>
        </w:rPr>
        <w:t>Throughout this paper one should always keep this selectionbias in mind and reflect on its possible impact on our results.</w:t>
      </w:r>
      <w:r w:rsidR="003562E7" w:rsidRPr="003562E7">
        <w:rPr>
          <w:lang w:val="en-US"/>
        </w:rPr>
        <w:t xml:space="preserve"> </w:t>
      </w:r>
    </w:p>
    <w:p w14:paraId="145848F0" w14:textId="4DD229B9" w:rsidR="00AB36D2" w:rsidRPr="00AB36D2" w:rsidRDefault="00337BC8" w:rsidP="004A71FD">
      <w:pPr>
        <w:autoSpaceDE w:val="0"/>
        <w:autoSpaceDN w:val="0"/>
        <w:adjustRightInd w:val="0"/>
        <w:jc w:val="both"/>
        <w:rPr>
          <w:b/>
          <w:noProof/>
          <w:lang w:val="en-US"/>
        </w:rPr>
      </w:pPr>
      <w:r>
        <w:rPr>
          <w:b/>
          <w:noProof/>
          <w:lang w:val="en-US"/>
        </w:rPr>
        <w:t>Presentation of the r</w:t>
      </w:r>
      <w:r w:rsidRPr="00AB36D2">
        <w:rPr>
          <w:b/>
          <w:noProof/>
          <w:lang w:val="en-US"/>
        </w:rPr>
        <w:t>esults</w:t>
      </w:r>
      <w:r w:rsidR="00252CA5">
        <w:rPr>
          <w:b/>
          <w:noProof/>
          <w:lang w:val="en-US"/>
        </w:rPr>
        <w:t xml:space="preserve"> and probing into their variety </w:t>
      </w:r>
    </w:p>
    <w:p w14:paraId="2269C652" w14:textId="77777777" w:rsidR="002F208A" w:rsidRDefault="002F208A" w:rsidP="002F208A">
      <w:pPr>
        <w:autoSpaceDE w:val="0"/>
        <w:autoSpaceDN w:val="0"/>
        <w:adjustRightInd w:val="0"/>
        <w:jc w:val="both"/>
        <w:rPr>
          <w:noProof/>
          <w:lang w:val="en-US"/>
        </w:rPr>
      </w:pPr>
      <w:r>
        <w:rPr>
          <w:noProof/>
          <w:lang w:val="en-US"/>
        </w:rPr>
        <w:t>Below we will first of all try to describe the ideological nationalization of the local level. Afterwards we will account for variation within it. The first hypotheses is the following:</w:t>
      </w:r>
    </w:p>
    <w:p w14:paraId="4EE9F694" w14:textId="77777777" w:rsidR="002F208A" w:rsidRDefault="002F208A" w:rsidP="002F208A">
      <w:pPr>
        <w:autoSpaceDE w:val="0"/>
        <w:autoSpaceDN w:val="0"/>
        <w:adjustRightInd w:val="0"/>
        <w:jc w:val="both"/>
        <w:rPr>
          <w:noProof/>
          <w:lang w:val="en-US"/>
        </w:rPr>
      </w:pPr>
      <w:r>
        <w:rPr>
          <w:noProof/>
          <w:lang w:val="en-US"/>
        </w:rPr>
        <w:lastRenderedPageBreak/>
        <w:t>H1: The emphasis that local branches of national parties put on certain issues in their local manifestos is not significantly related to the model program of their national mother party.</w:t>
      </w:r>
    </w:p>
    <w:p w14:paraId="156E5F94" w14:textId="62FB4E0C" w:rsidR="00A364EB" w:rsidRPr="00BE0281" w:rsidRDefault="00337BC8" w:rsidP="0053179E">
      <w:pPr>
        <w:jc w:val="both"/>
        <w:rPr>
          <w:i/>
          <w:noProof/>
          <w:lang w:val="en-US"/>
        </w:rPr>
      </w:pPr>
      <w:r w:rsidRPr="00BE0281">
        <w:rPr>
          <w:i/>
          <w:noProof/>
          <w:lang w:val="en-US"/>
        </w:rPr>
        <w:t xml:space="preserve">Level of ideological </w:t>
      </w:r>
      <w:r w:rsidR="00A364EB" w:rsidRPr="00BE0281">
        <w:rPr>
          <w:i/>
          <w:noProof/>
          <w:lang w:val="en-US"/>
        </w:rPr>
        <w:t>nationali</w:t>
      </w:r>
      <w:r w:rsidR="00C31F66" w:rsidRPr="00BE0281">
        <w:rPr>
          <w:i/>
          <w:noProof/>
          <w:lang w:val="en-US"/>
        </w:rPr>
        <w:t>z</w:t>
      </w:r>
      <w:r w:rsidR="00A364EB" w:rsidRPr="00BE0281">
        <w:rPr>
          <w:i/>
          <w:noProof/>
          <w:lang w:val="en-US"/>
        </w:rPr>
        <w:t>ation</w:t>
      </w:r>
    </w:p>
    <w:p w14:paraId="02A3B177" w14:textId="337268AE" w:rsidR="00337BC8" w:rsidRDefault="0053179E" w:rsidP="0053179E">
      <w:pPr>
        <w:jc w:val="both"/>
        <w:rPr>
          <w:noProof/>
          <w:lang w:val="en-US"/>
        </w:rPr>
      </w:pPr>
      <w:r w:rsidRPr="0053179E">
        <w:rPr>
          <w:noProof/>
          <w:lang w:val="en-US"/>
        </w:rPr>
        <w:t>Figure 1 shows the distribution of RN</w:t>
      </w:r>
      <w:r w:rsidR="004D4BD9">
        <w:rPr>
          <w:noProof/>
          <w:lang w:val="en-US"/>
        </w:rPr>
        <w:t>S scores of local</w:t>
      </w:r>
      <w:r w:rsidR="00B835B7">
        <w:rPr>
          <w:noProof/>
          <w:lang w:val="en-US"/>
        </w:rPr>
        <w:t xml:space="preserve"> party manifesto</w:t>
      </w:r>
      <w:r w:rsidRPr="0053179E">
        <w:rPr>
          <w:noProof/>
          <w:lang w:val="en-US"/>
        </w:rPr>
        <w:t xml:space="preserve">s. </w:t>
      </w:r>
      <w:r w:rsidR="004D4BD9">
        <w:rPr>
          <w:noProof/>
          <w:lang w:val="en-US"/>
        </w:rPr>
        <w:t>The</w:t>
      </w:r>
      <w:r w:rsidR="0040422D">
        <w:rPr>
          <w:noProof/>
          <w:lang w:val="en-US"/>
        </w:rPr>
        <w:t xml:space="preserve"> </w:t>
      </w:r>
      <w:r w:rsidR="00337BC8">
        <w:rPr>
          <w:noProof/>
          <w:lang w:val="en-US"/>
        </w:rPr>
        <w:t>RNS</w:t>
      </w:r>
      <w:r w:rsidRPr="0053179E">
        <w:rPr>
          <w:noProof/>
          <w:lang w:val="en-US"/>
        </w:rPr>
        <w:t xml:space="preserve"> </w:t>
      </w:r>
      <w:r w:rsidR="00337BC8">
        <w:rPr>
          <w:noProof/>
          <w:lang w:val="en-US"/>
        </w:rPr>
        <w:t>varies</w:t>
      </w:r>
      <w:r w:rsidRPr="0053179E">
        <w:rPr>
          <w:noProof/>
          <w:lang w:val="en-US"/>
        </w:rPr>
        <w:t xml:space="preserve"> between zero and one</w:t>
      </w:r>
      <w:r w:rsidR="00337BC8">
        <w:rPr>
          <w:noProof/>
          <w:lang w:val="en-US"/>
        </w:rPr>
        <w:t>: z</w:t>
      </w:r>
      <w:r w:rsidRPr="0053179E">
        <w:rPr>
          <w:noProof/>
          <w:lang w:val="en-US"/>
        </w:rPr>
        <w:t xml:space="preserve">ero </w:t>
      </w:r>
      <w:r w:rsidR="00337BC8">
        <w:rPr>
          <w:noProof/>
          <w:lang w:val="en-US"/>
        </w:rPr>
        <w:t xml:space="preserve">(0) </w:t>
      </w:r>
      <w:r w:rsidRPr="0053179E">
        <w:rPr>
          <w:noProof/>
          <w:lang w:val="en-US"/>
        </w:rPr>
        <w:t>means that a manifesto is perfectly localized and shows no ressemblances with the national template</w:t>
      </w:r>
      <w:r w:rsidR="004D4BD9">
        <w:rPr>
          <w:noProof/>
          <w:lang w:val="en-US"/>
        </w:rPr>
        <w:t>. O</w:t>
      </w:r>
      <w:r w:rsidRPr="0053179E">
        <w:rPr>
          <w:noProof/>
          <w:lang w:val="en-US"/>
        </w:rPr>
        <w:t>ne</w:t>
      </w:r>
      <w:r w:rsidR="00337BC8">
        <w:rPr>
          <w:noProof/>
          <w:lang w:val="en-US"/>
        </w:rPr>
        <w:t xml:space="preserve"> (1) </w:t>
      </w:r>
      <w:r w:rsidR="0023218A">
        <w:rPr>
          <w:noProof/>
          <w:lang w:val="en-US"/>
        </w:rPr>
        <w:t>represents</w:t>
      </w:r>
      <w:r w:rsidRPr="0053179E">
        <w:rPr>
          <w:noProof/>
          <w:lang w:val="en-US"/>
        </w:rPr>
        <w:t xml:space="preserve"> perfect nationalization and theoretically a perfect copy of the model program. </w:t>
      </w:r>
    </w:p>
    <w:p w14:paraId="46555DDF" w14:textId="3321E3B7" w:rsidR="0053179E" w:rsidRDefault="0053179E" w:rsidP="0053179E">
      <w:pPr>
        <w:jc w:val="both"/>
        <w:rPr>
          <w:noProof/>
          <w:lang w:val="en-US"/>
        </w:rPr>
      </w:pPr>
      <w:r w:rsidRPr="0053179E">
        <w:rPr>
          <w:noProof/>
          <w:lang w:val="en-US"/>
        </w:rPr>
        <w:t xml:space="preserve">First of all, the scores between .5 and 1 </w:t>
      </w:r>
      <w:r w:rsidR="00337BC8">
        <w:rPr>
          <w:noProof/>
          <w:lang w:val="en-US"/>
        </w:rPr>
        <w:t>are</w:t>
      </w:r>
      <w:r w:rsidRPr="0053179E">
        <w:rPr>
          <w:noProof/>
          <w:lang w:val="en-US"/>
        </w:rPr>
        <w:t xml:space="preserve"> normal</w:t>
      </w:r>
      <w:r w:rsidR="00337BC8">
        <w:rPr>
          <w:noProof/>
          <w:lang w:val="en-US"/>
        </w:rPr>
        <w:t>ly</w:t>
      </w:r>
      <w:r w:rsidRPr="0053179E">
        <w:rPr>
          <w:noProof/>
          <w:lang w:val="en-US"/>
        </w:rPr>
        <w:t xml:space="preserve"> </w:t>
      </w:r>
      <w:r w:rsidR="00337BC8" w:rsidRPr="0053179E">
        <w:rPr>
          <w:noProof/>
          <w:lang w:val="en-US"/>
        </w:rPr>
        <w:t>distribut</w:t>
      </w:r>
      <w:r w:rsidR="00337BC8">
        <w:rPr>
          <w:noProof/>
          <w:lang w:val="en-US"/>
        </w:rPr>
        <w:t>ed</w:t>
      </w:r>
      <w:r w:rsidRPr="0053179E">
        <w:rPr>
          <w:noProof/>
          <w:lang w:val="en-US"/>
        </w:rPr>
        <w:t xml:space="preserve">. Most of the scores cluster around the mean result (.74) while the standard deviation is small as well (.08). </w:t>
      </w:r>
      <w:r w:rsidR="00337BC8">
        <w:rPr>
          <w:noProof/>
          <w:lang w:val="en-US"/>
        </w:rPr>
        <w:t>A</w:t>
      </w:r>
      <w:r w:rsidRPr="0053179E">
        <w:rPr>
          <w:noProof/>
          <w:lang w:val="en-US"/>
        </w:rPr>
        <w:t xml:space="preserve">ll manifestos show a high degree of similarity compared to their national model manifesto. </w:t>
      </w:r>
      <w:r w:rsidR="00337BC8">
        <w:rPr>
          <w:noProof/>
          <w:lang w:val="en-US"/>
        </w:rPr>
        <w:t>T</w:t>
      </w:r>
      <w:r w:rsidR="00337BC8" w:rsidRPr="0053179E">
        <w:rPr>
          <w:noProof/>
          <w:lang w:val="en-US"/>
        </w:rPr>
        <w:t>he minimum score is .56, which can already be seen as a significant indication of ideological nationalization. At the other extreme end, 5 manifestoes could be categorised as very strongly nationalized as their scores range between .85 and 1.</w:t>
      </w:r>
      <w:r w:rsidR="00337BC8">
        <w:rPr>
          <w:noProof/>
          <w:lang w:val="en-US"/>
        </w:rPr>
        <w:t xml:space="preserve"> In general, t</w:t>
      </w:r>
      <w:r w:rsidRPr="0053179E">
        <w:rPr>
          <w:noProof/>
          <w:lang w:val="en-US"/>
        </w:rPr>
        <w:t>he data suggests a very clearcut image of nationalization</w:t>
      </w:r>
      <w:r w:rsidR="00337BC8">
        <w:rPr>
          <w:noProof/>
          <w:lang w:val="en-US"/>
        </w:rPr>
        <w:t xml:space="preserve"> of the local manifestos</w:t>
      </w:r>
      <w:r w:rsidRPr="0053179E">
        <w:rPr>
          <w:noProof/>
          <w:lang w:val="en-US"/>
        </w:rPr>
        <w:t xml:space="preserve">. In short, there is no doubt we can reject </w:t>
      </w:r>
      <w:r w:rsidR="00BE4602">
        <w:rPr>
          <w:noProof/>
          <w:lang w:val="en-US"/>
        </w:rPr>
        <w:t>H1</w:t>
      </w:r>
      <w:r w:rsidRPr="0053179E">
        <w:rPr>
          <w:noProof/>
          <w:lang w:val="en-US"/>
        </w:rPr>
        <w:t xml:space="preserve"> and confirm a widespread ideological congruence between local departments and </w:t>
      </w:r>
      <w:r w:rsidR="0023218A">
        <w:rPr>
          <w:noProof/>
          <w:lang w:val="en-US"/>
        </w:rPr>
        <w:t>the cent</w:t>
      </w:r>
      <w:r w:rsidRPr="0053179E">
        <w:rPr>
          <w:noProof/>
          <w:lang w:val="en-US"/>
        </w:rPr>
        <w:t>e</w:t>
      </w:r>
      <w:r w:rsidR="0023218A">
        <w:rPr>
          <w:noProof/>
          <w:lang w:val="en-US"/>
        </w:rPr>
        <w:t>r</w:t>
      </w:r>
      <w:r w:rsidR="00337BC8">
        <w:rPr>
          <w:noProof/>
          <w:lang w:val="en-US"/>
        </w:rPr>
        <w:t xml:space="preserve">: </w:t>
      </w:r>
      <w:r w:rsidRPr="0053179E">
        <w:rPr>
          <w:noProof/>
          <w:lang w:val="en-US"/>
        </w:rPr>
        <w:t xml:space="preserve">deviations in terms of </w:t>
      </w:r>
      <w:r w:rsidR="00337BC8">
        <w:rPr>
          <w:noProof/>
          <w:lang w:val="en-US"/>
        </w:rPr>
        <w:t>issue salience</w:t>
      </w:r>
      <w:r w:rsidRPr="0053179E">
        <w:rPr>
          <w:noProof/>
          <w:lang w:val="en-US"/>
        </w:rPr>
        <w:t xml:space="preserve"> or relative attention for </w:t>
      </w:r>
      <w:r w:rsidR="0023218A">
        <w:rPr>
          <w:noProof/>
          <w:lang w:val="en-US"/>
        </w:rPr>
        <w:t>these subjects are limited</w:t>
      </w:r>
      <w:r w:rsidRPr="0053179E">
        <w:rPr>
          <w:noProof/>
          <w:lang w:val="en-US"/>
        </w:rPr>
        <w:t xml:space="preserve">. </w:t>
      </w:r>
      <w:r w:rsidR="00286A38">
        <w:rPr>
          <w:noProof/>
          <w:lang w:val="en-US"/>
        </w:rPr>
        <w:t>A</w:t>
      </w:r>
      <w:r w:rsidRPr="0053179E">
        <w:rPr>
          <w:noProof/>
          <w:lang w:val="en-US"/>
        </w:rPr>
        <w:t xml:space="preserve">ll local party branches seem to </w:t>
      </w:r>
      <w:r w:rsidR="0023218A">
        <w:rPr>
          <w:noProof/>
          <w:lang w:val="en-US"/>
        </w:rPr>
        <w:t>embrace</w:t>
      </w:r>
      <w:r w:rsidRPr="0053179E">
        <w:rPr>
          <w:noProof/>
          <w:lang w:val="en-US"/>
        </w:rPr>
        <w:t xml:space="preserve"> the ideological standards of the national party. There is limited variation in how much they rely on that template. </w:t>
      </w:r>
      <w:r w:rsidR="00286A38">
        <w:rPr>
          <w:noProof/>
          <w:lang w:val="en-US"/>
        </w:rPr>
        <w:t>Hence, t</w:t>
      </w:r>
      <w:r w:rsidRPr="0053179E">
        <w:rPr>
          <w:noProof/>
          <w:lang w:val="en-US"/>
        </w:rPr>
        <w:t>he</w:t>
      </w:r>
      <w:r w:rsidR="003114D2">
        <w:rPr>
          <w:noProof/>
          <w:lang w:val="en-US"/>
        </w:rPr>
        <w:t xml:space="preserve"> national model program</w:t>
      </w:r>
      <w:r w:rsidRPr="0053179E">
        <w:rPr>
          <w:noProof/>
          <w:lang w:val="en-US"/>
        </w:rPr>
        <w:t xml:space="preserve"> seems to be a blueprint</w:t>
      </w:r>
      <w:r w:rsidR="00286A38">
        <w:rPr>
          <w:noProof/>
          <w:lang w:val="en-US"/>
        </w:rPr>
        <w:t xml:space="preserve"> for the local program</w:t>
      </w:r>
      <w:r w:rsidRPr="0053179E">
        <w:rPr>
          <w:noProof/>
          <w:lang w:val="en-US"/>
        </w:rPr>
        <w:t xml:space="preserve">, which can be tinkered minimaly depending on the local needs but whose core is always to be maintained. </w:t>
      </w:r>
    </w:p>
    <w:p w14:paraId="3ADCE743" w14:textId="3D199545" w:rsidR="00940E7C" w:rsidRDefault="00A90FBE" w:rsidP="00A90FBE">
      <w:pPr>
        <w:jc w:val="both"/>
        <w:rPr>
          <w:noProof/>
          <w:lang w:val="en-US"/>
        </w:rPr>
      </w:pPr>
      <w:r w:rsidRPr="00A90FBE">
        <w:rPr>
          <w:b/>
          <w:noProof/>
          <w:lang w:val="en-US"/>
        </w:rPr>
        <w:t>[</w:t>
      </w:r>
      <w:r w:rsidR="00257F58" w:rsidRPr="00A90FBE">
        <w:rPr>
          <w:b/>
          <w:noProof/>
          <w:lang w:val="en-US"/>
        </w:rPr>
        <w:t>Figure</w:t>
      </w:r>
      <w:r w:rsidRPr="00A90FBE">
        <w:rPr>
          <w:b/>
          <w:noProof/>
          <w:lang w:val="en-US"/>
        </w:rPr>
        <w:t xml:space="preserve"> 1 around here]</w:t>
      </w:r>
    </w:p>
    <w:p w14:paraId="01A9A9F9" w14:textId="77777777" w:rsidR="00521069" w:rsidRPr="00BE0281" w:rsidRDefault="00521069" w:rsidP="008C0D50">
      <w:pPr>
        <w:jc w:val="both"/>
        <w:rPr>
          <w:i/>
          <w:noProof/>
          <w:lang w:val="en-US"/>
        </w:rPr>
      </w:pPr>
      <w:r w:rsidRPr="00BE0281">
        <w:rPr>
          <w:i/>
          <w:noProof/>
          <w:lang w:val="en-US"/>
        </w:rPr>
        <w:t>Party type</w:t>
      </w:r>
      <w:r w:rsidR="00014424" w:rsidRPr="00BE0281">
        <w:rPr>
          <w:i/>
          <w:noProof/>
          <w:lang w:val="en-US"/>
        </w:rPr>
        <w:t xml:space="preserve"> or context</w:t>
      </w:r>
    </w:p>
    <w:p w14:paraId="598E35D5" w14:textId="0F17960C" w:rsidR="00AD4C41" w:rsidRDefault="00AD4C41" w:rsidP="008C0D50">
      <w:pPr>
        <w:jc w:val="both"/>
        <w:rPr>
          <w:noProof/>
          <w:lang w:val="en-US"/>
        </w:rPr>
      </w:pPr>
      <w:r w:rsidRPr="00AD4C41">
        <w:rPr>
          <w:noProof/>
          <w:lang w:val="en-US"/>
        </w:rPr>
        <w:t xml:space="preserve">In order to explain the variation in ideological nationalization we will look to the party type and the local context. Firstly, we assume that some party characteristics </w:t>
      </w:r>
      <w:r>
        <w:rPr>
          <w:noProof/>
          <w:lang w:val="en-US"/>
        </w:rPr>
        <w:t>are more appropriate in understanding</w:t>
      </w:r>
      <w:r w:rsidRPr="00AD4C41">
        <w:rPr>
          <w:noProof/>
          <w:lang w:val="en-US"/>
        </w:rPr>
        <w:t xml:space="preserve"> nationalization than others. Based on the ideological positioning, genetic origin and newness of the parties</w:t>
      </w:r>
      <w:r>
        <w:rPr>
          <w:noProof/>
          <w:lang w:val="en-US"/>
        </w:rPr>
        <w:t xml:space="preserve"> (party age)</w:t>
      </w:r>
      <w:r w:rsidRPr="00AD4C41">
        <w:rPr>
          <w:noProof/>
          <w:lang w:val="en-US"/>
        </w:rPr>
        <w:t>, we formulate different expectations. Secondly, municipal size and participation in the outgoing local governing majority are used to model the</w:t>
      </w:r>
      <w:r>
        <w:rPr>
          <w:noProof/>
          <w:lang w:val="en-US"/>
        </w:rPr>
        <w:t xml:space="preserve"> differences</w:t>
      </w:r>
      <w:r w:rsidR="00940070">
        <w:rPr>
          <w:noProof/>
          <w:lang w:val="en-US"/>
        </w:rPr>
        <w:t xml:space="preserve"> we find</w:t>
      </w:r>
      <w:r w:rsidRPr="00AD4C41">
        <w:rPr>
          <w:noProof/>
          <w:lang w:val="en-US"/>
        </w:rPr>
        <w:t>.</w:t>
      </w:r>
    </w:p>
    <w:p w14:paraId="11A874E7" w14:textId="3FB41DBF" w:rsidR="007E23B0" w:rsidRPr="00AD4C41" w:rsidRDefault="007E23B0" w:rsidP="008C0D50">
      <w:pPr>
        <w:jc w:val="both"/>
        <w:rPr>
          <w:noProof/>
          <w:lang w:val="en-US"/>
        </w:rPr>
      </w:pPr>
      <w:r w:rsidRPr="0057249E">
        <w:rPr>
          <w:i/>
          <w:noProof/>
          <w:lang w:val="en-US"/>
        </w:rPr>
        <w:t xml:space="preserve">Party </w:t>
      </w:r>
      <w:r w:rsidR="0057249E">
        <w:rPr>
          <w:i/>
          <w:noProof/>
          <w:lang w:val="en-US"/>
        </w:rPr>
        <w:t>effect</w:t>
      </w:r>
    </w:p>
    <w:p w14:paraId="76F594CE" w14:textId="01328F87" w:rsidR="00AD4C41" w:rsidRPr="00C52599" w:rsidRDefault="00AD4C41" w:rsidP="00AD4C41">
      <w:pPr>
        <w:jc w:val="both"/>
        <w:rPr>
          <w:noProof/>
          <w:lang w:val="en-US"/>
        </w:rPr>
      </w:pPr>
      <w:r w:rsidRPr="00C52599">
        <w:rPr>
          <w:noProof/>
          <w:lang w:val="en-US"/>
        </w:rPr>
        <w:t>According to some scholars (e.g. Enyedi and Linek, 2008; Adams et al., 2009:616) rightist parties are more hierarchically organized than leftist parties. Based on their more individualistic ideology right-wing parties emphasize party leadership: party elites are in control and organized forms of member participation are more limited compared to left-wing parties. Based on this hierarchical organization we can expect that local chapters of rightist national parties will have less programmatic freedom than the local chapters of left parties. Although recent comparative research (Pilet and Cross, 2014:228) does not provide rock-hard evidence of thi</w:t>
      </w:r>
      <w:r w:rsidR="00C52599" w:rsidRPr="00C52599">
        <w:rPr>
          <w:noProof/>
          <w:lang w:val="en-US"/>
        </w:rPr>
        <w:t>s leftist democratic tradition because</w:t>
      </w:r>
      <w:r w:rsidRPr="00C52599">
        <w:rPr>
          <w:noProof/>
          <w:lang w:val="en-US"/>
        </w:rPr>
        <w:t xml:space="preserve"> all parties (</w:t>
      </w:r>
      <w:r w:rsidR="00C52599" w:rsidRPr="00C52599">
        <w:rPr>
          <w:noProof/>
          <w:lang w:val="en-US"/>
        </w:rPr>
        <w:t>left and</w:t>
      </w:r>
      <w:r w:rsidRPr="00C52599">
        <w:rPr>
          <w:noProof/>
          <w:lang w:val="en-US"/>
        </w:rPr>
        <w:t xml:space="preserve"> right</w:t>
      </w:r>
      <w:r w:rsidR="00C52599" w:rsidRPr="00C52599">
        <w:rPr>
          <w:noProof/>
          <w:lang w:val="en-US"/>
        </w:rPr>
        <w:t>-wing</w:t>
      </w:r>
      <w:r w:rsidRPr="00C52599">
        <w:rPr>
          <w:noProof/>
          <w:lang w:val="en-US"/>
        </w:rPr>
        <w:t xml:space="preserve">) have made efforts to </w:t>
      </w:r>
      <w:r w:rsidR="00C52599" w:rsidRPr="00C52599">
        <w:rPr>
          <w:noProof/>
          <w:lang w:val="en-US"/>
        </w:rPr>
        <w:t>increase the voice of party members</w:t>
      </w:r>
      <w:r w:rsidRPr="00C52599">
        <w:rPr>
          <w:noProof/>
          <w:lang w:val="en-US"/>
        </w:rPr>
        <w:t xml:space="preserve"> in the internal workings of the party (e.g. LeDuc, 2001 ; Heidar, Kosiara-Pedersen an</w:t>
      </w:r>
      <w:r w:rsidR="00C52599" w:rsidRPr="00C52599">
        <w:rPr>
          <w:noProof/>
          <w:lang w:val="en-US"/>
        </w:rPr>
        <w:t>d Saglie, 2012</w:t>
      </w:r>
      <w:r w:rsidR="00766F7A">
        <w:rPr>
          <w:noProof/>
          <w:lang w:val="en-US"/>
        </w:rPr>
        <w:t xml:space="preserve"> </w:t>
      </w:r>
      <w:r w:rsidR="00C52599" w:rsidRPr="00C52599">
        <w:rPr>
          <w:noProof/>
          <w:lang w:val="en-US"/>
        </w:rPr>
        <w:t>; Wauters, 2013).</w:t>
      </w:r>
      <w:r w:rsidRPr="00C52599">
        <w:rPr>
          <w:noProof/>
          <w:lang w:val="en-US"/>
        </w:rPr>
        <w:t xml:space="preserve"> </w:t>
      </w:r>
      <w:r w:rsidR="00C52599" w:rsidRPr="00C52599">
        <w:rPr>
          <w:noProof/>
          <w:lang w:val="en-US"/>
        </w:rPr>
        <w:t>W</w:t>
      </w:r>
      <w:r w:rsidRPr="00C52599">
        <w:rPr>
          <w:noProof/>
          <w:lang w:val="en-US"/>
        </w:rPr>
        <w:t xml:space="preserve">e assume that the chances of ideological nationalization are larger within rightist parties. </w:t>
      </w:r>
    </w:p>
    <w:p w14:paraId="3DEC074D" w14:textId="4A6D9D7E" w:rsidR="005F2D32" w:rsidRPr="005F2D32" w:rsidRDefault="00E409E3" w:rsidP="005F2D32">
      <w:pPr>
        <w:jc w:val="both"/>
        <w:rPr>
          <w:noProof/>
          <w:lang w:val="en-US"/>
        </w:rPr>
      </w:pPr>
      <w:r w:rsidRPr="00F75BAE">
        <w:rPr>
          <w:lang w:val="en-US"/>
        </w:rPr>
        <w:t>H</w:t>
      </w:r>
      <w:r w:rsidR="00E8728D">
        <w:rPr>
          <w:lang w:val="en-US"/>
        </w:rPr>
        <w:t>2</w:t>
      </w:r>
      <w:r w:rsidR="001A5357" w:rsidRPr="00F75BAE">
        <w:rPr>
          <w:lang w:val="en-US"/>
        </w:rPr>
        <w:t>a</w:t>
      </w:r>
      <w:r w:rsidRPr="00F75BAE">
        <w:rPr>
          <w:noProof/>
          <w:lang w:val="en-US"/>
        </w:rPr>
        <w:t xml:space="preserve">: </w:t>
      </w:r>
      <w:r w:rsidR="005F2D32">
        <w:rPr>
          <w:noProof/>
          <w:lang w:val="en-US"/>
        </w:rPr>
        <w:t>P</w:t>
      </w:r>
      <w:r w:rsidR="005F2D32" w:rsidRPr="005F2D32">
        <w:rPr>
          <w:noProof/>
          <w:lang w:val="en-US"/>
        </w:rPr>
        <w:t>arties of the right show a higher degree of ideological nationalization than left</w:t>
      </w:r>
      <w:r w:rsidR="005F2D32">
        <w:rPr>
          <w:noProof/>
          <w:lang w:val="en-US"/>
        </w:rPr>
        <w:t>-wing</w:t>
      </w:r>
      <w:r w:rsidR="005F2D32" w:rsidRPr="005F2D32">
        <w:rPr>
          <w:noProof/>
          <w:lang w:val="en-US"/>
        </w:rPr>
        <w:t xml:space="preserve"> parties.</w:t>
      </w:r>
    </w:p>
    <w:p w14:paraId="22E0F03D" w14:textId="18AB63F9" w:rsidR="005F2D32" w:rsidRPr="005F2D32" w:rsidRDefault="005F2D32" w:rsidP="005F2D32">
      <w:pPr>
        <w:jc w:val="both"/>
        <w:rPr>
          <w:noProof/>
          <w:lang w:val="en-US"/>
        </w:rPr>
      </w:pPr>
      <w:r w:rsidRPr="005F2D32">
        <w:rPr>
          <w:noProof/>
          <w:lang w:val="en-US"/>
        </w:rPr>
        <w:lastRenderedPageBreak/>
        <w:t xml:space="preserve">The genetic origin of a party could also have an influence on the extent of ideological nationalization today. In this sense, parties that started out as </w:t>
      </w:r>
      <w:r>
        <w:rPr>
          <w:noProof/>
          <w:lang w:val="en-US"/>
        </w:rPr>
        <w:t>mass parties can be considered</w:t>
      </w:r>
      <w:r w:rsidRPr="005F2D32">
        <w:rPr>
          <w:noProof/>
          <w:lang w:val="en-US"/>
        </w:rPr>
        <w:t xml:space="preserve"> highly centralized. All mass parties </w:t>
      </w:r>
      <w:r>
        <w:rPr>
          <w:noProof/>
          <w:lang w:val="en-US"/>
        </w:rPr>
        <w:t xml:space="preserve">share the important role of the national headquarters in their party organization. </w:t>
      </w:r>
      <w:r w:rsidRPr="005F2D32">
        <w:rPr>
          <w:noProof/>
          <w:lang w:val="en-US"/>
        </w:rPr>
        <w:t>This includes that the local party branches are coordinated by the centr</w:t>
      </w:r>
      <w:r>
        <w:rPr>
          <w:noProof/>
          <w:lang w:val="en-US"/>
        </w:rPr>
        <w:t>al party (Krouwel 2006:255). Of</w:t>
      </w:r>
      <w:r w:rsidRPr="005F2D32">
        <w:rPr>
          <w:noProof/>
          <w:lang w:val="en-US"/>
        </w:rPr>
        <w:t xml:space="preserve"> course, the era of mass parties </w:t>
      </w:r>
      <w:r>
        <w:rPr>
          <w:noProof/>
          <w:lang w:val="en-US"/>
        </w:rPr>
        <w:t>l</w:t>
      </w:r>
      <w:r w:rsidRPr="005F2D32">
        <w:rPr>
          <w:noProof/>
          <w:lang w:val="en-US"/>
        </w:rPr>
        <w:t>i</w:t>
      </w:r>
      <w:r>
        <w:rPr>
          <w:noProof/>
          <w:lang w:val="en-US"/>
        </w:rPr>
        <w:t>e</w:t>
      </w:r>
      <w:r w:rsidRPr="005F2D32">
        <w:rPr>
          <w:noProof/>
          <w:lang w:val="en-US"/>
        </w:rPr>
        <w:t>s far behind us, but according to Gunther and Diamond (2003:173) the “</w:t>
      </w:r>
      <w:r w:rsidRPr="0034098B">
        <w:rPr>
          <w:i/>
          <w:noProof/>
          <w:lang w:val="en-US"/>
        </w:rPr>
        <w:t>’founding context’ can leave a lasting imprint on the basic nature of the party’s organization for decades to come</w:t>
      </w:r>
      <w:r w:rsidRPr="005F2D32">
        <w:rPr>
          <w:noProof/>
          <w:lang w:val="en-US"/>
        </w:rPr>
        <w:t xml:space="preserve">”. </w:t>
      </w:r>
      <w:r>
        <w:rPr>
          <w:noProof/>
          <w:lang w:val="en-US"/>
        </w:rPr>
        <w:t>As a result,</w:t>
      </w:r>
      <w:r w:rsidRPr="005F2D32">
        <w:rPr>
          <w:noProof/>
          <w:lang w:val="en-US"/>
        </w:rPr>
        <w:t xml:space="preserve"> we </w:t>
      </w:r>
      <w:r>
        <w:rPr>
          <w:noProof/>
          <w:lang w:val="en-US"/>
        </w:rPr>
        <w:t>hypothesize the following:</w:t>
      </w:r>
    </w:p>
    <w:p w14:paraId="16E072E5" w14:textId="746AE801" w:rsidR="005F2D32" w:rsidRPr="005F2D32" w:rsidRDefault="00E8728D" w:rsidP="005F2D32">
      <w:pPr>
        <w:jc w:val="both"/>
        <w:rPr>
          <w:noProof/>
          <w:lang w:val="en-US"/>
        </w:rPr>
      </w:pPr>
      <w:r>
        <w:rPr>
          <w:noProof/>
          <w:lang w:val="en-US"/>
        </w:rPr>
        <w:t>H2</w:t>
      </w:r>
      <w:r w:rsidR="00BB2CE7" w:rsidRPr="0098677B">
        <w:rPr>
          <w:noProof/>
          <w:lang w:val="en-US"/>
        </w:rPr>
        <w:t>b</w:t>
      </w:r>
      <w:r w:rsidR="007E23B0" w:rsidRPr="0098677B">
        <w:rPr>
          <w:noProof/>
          <w:lang w:val="en-US"/>
        </w:rPr>
        <w:t>:</w:t>
      </w:r>
      <w:r w:rsidR="005F2D32" w:rsidRPr="005F2D32">
        <w:rPr>
          <w:noProof/>
          <w:lang w:val="en-US"/>
        </w:rPr>
        <w:t xml:space="preserve"> Parties that were founded as mass parties show a higher degree of ideological nationalization than other parties.</w:t>
      </w:r>
    </w:p>
    <w:p w14:paraId="3BA46946" w14:textId="7ECF5D6D" w:rsidR="005F2D32" w:rsidRDefault="005F2D32" w:rsidP="005F2D32">
      <w:pPr>
        <w:jc w:val="both"/>
        <w:rPr>
          <w:noProof/>
          <w:lang w:val="en-US"/>
        </w:rPr>
      </w:pPr>
      <w:r w:rsidRPr="005F2D32">
        <w:rPr>
          <w:noProof/>
          <w:lang w:val="en-US"/>
        </w:rPr>
        <w:t>Finally we expect to find a difference between new parties and established parties. The younger a party is, the less organizational power it has. In contrast to established parties, new parties still have to build a viable infrastructure (Mair 1999). Although party age is an important factor that affects the level of party organization</w:t>
      </w:r>
      <w:r w:rsidR="008A1C55">
        <w:rPr>
          <w:noProof/>
          <w:lang w:val="en-US"/>
        </w:rPr>
        <w:t>,</w:t>
      </w:r>
      <w:r w:rsidRPr="005F2D32">
        <w:rPr>
          <w:noProof/>
          <w:lang w:val="en-US"/>
        </w:rPr>
        <w:t xml:space="preserve"> </w:t>
      </w:r>
      <w:r w:rsidR="008A1C55">
        <w:rPr>
          <w:noProof/>
          <w:lang w:val="en-US"/>
        </w:rPr>
        <w:t>t</w:t>
      </w:r>
      <w:r w:rsidRPr="005F2D32">
        <w:rPr>
          <w:noProof/>
          <w:lang w:val="en-US"/>
        </w:rPr>
        <w:t>he era in which they were founded (from the 1960’s onwards) and ideology play a role too. New parties are often ‘thinner’ organizations than established parties because they emerged in a context of mass communication which made it possible to communicate directly with voters instead of via the party apparatus (Gunther and Diamond 2003: 174). Moreover</w:t>
      </w:r>
      <w:r w:rsidR="008A1C55">
        <w:rPr>
          <w:noProof/>
          <w:lang w:val="en-US"/>
        </w:rPr>
        <w:t>,</w:t>
      </w:r>
      <w:r w:rsidRPr="005F2D32">
        <w:rPr>
          <w:noProof/>
          <w:lang w:val="en-US"/>
        </w:rPr>
        <w:t xml:space="preserve"> many new parties dissaprove strong hierarchical steering and choose for a more democratic form of organization (Bolleyer 2011: 322). Th</w:t>
      </w:r>
      <w:r w:rsidR="008A1C55">
        <w:rPr>
          <w:noProof/>
          <w:lang w:val="en-US"/>
        </w:rPr>
        <w:t>is less developed organization with</w:t>
      </w:r>
      <w:r w:rsidRPr="005F2D32">
        <w:rPr>
          <w:noProof/>
          <w:lang w:val="en-US"/>
        </w:rPr>
        <w:t xml:space="preserve"> emphasis on democratic party organization leaves more room for </w:t>
      </w:r>
      <w:r w:rsidR="008A1C55">
        <w:rPr>
          <w:noProof/>
          <w:lang w:val="en-US"/>
        </w:rPr>
        <w:t xml:space="preserve">local </w:t>
      </w:r>
      <w:r w:rsidRPr="005F2D32">
        <w:rPr>
          <w:noProof/>
          <w:lang w:val="en-US"/>
        </w:rPr>
        <w:t xml:space="preserve">autonomy. </w:t>
      </w:r>
      <w:r w:rsidR="008A1C55">
        <w:rPr>
          <w:noProof/>
          <w:lang w:val="en-US"/>
        </w:rPr>
        <w:t xml:space="preserve">We therefore </w:t>
      </w:r>
      <w:r w:rsidR="0034098B">
        <w:rPr>
          <w:noProof/>
          <w:lang w:val="en-US"/>
        </w:rPr>
        <w:t>pro</w:t>
      </w:r>
      <w:r w:rsidR="008A1C55">
        <w:rPr>
          <w:noProof/>
          <w:lang w:val="en-US"/>
        </w:rPr>
        <w:t>pose the following:</w:t>
      </w:r>
    </w:p>
    <w:p w14:paraId="726454DA" w14:textId="7D1E84FA" w:rsidR="007E23B0" w:rsidRDefault="00E8728D" w:rsidP="005F2D32">
      <w:pPr>
        <w:jc w:val="both"/>
        <w:rPr>
          <w:lang w:val="en-US"/>
        </w:rPr>
      </w:pPr>
      <w:r>
        <w:rPr>
          <w:lang w:val="en-US"/>
        </w:rPr>
        <w:t>H2</w:t>
      </w:r>
      <w:r w:rsidR="00BB2CE7" w:rsidRPr="0098677B">
        <w:rPr>
          <w:lang w:val="en-US"/>
        </w:rPr>
        <w:t>c</w:t>
      </w:r>
      <w:r w:rsidR="007E23B0" w:rsidRPr="0098677B">
        <w:rPr>
          <w:lang w:val="en-US"/>
        </w:rPr>
        <w:t xml:space="preserve">: </w:t>
      </w:r>
      <w:r w:rsidR="00760452" w:rsidRPr="0098677B">
        <w:rPr>
          <w:lang w:val="en-US"/>
        </w:rPr>
        <w:t xml:space="preserve">Traditional </w:t>
      </w:r>
      <w:r w:rsidR="007E23B0" w:rsidRPr="0098677B">
        <w:rPr>
          <w:lang w:val="en-US"/>
        </w:rPr>
        <w:t xml:space="preserve">parties show a higher degree </w:t>
      </w:r>
      <w:r w:rsidR="00760452" w:rsidRPr="0098677B">
        <w:rPr>
          <w:lang w:val="en-US"/>
        </w:rPr>
        <w:t>of ideological nationalization compared to</w:t>
      </w:r>
      <w:r w:rsidR="007E23B0" w:rsidRPr="0098677B">
        <w:rPr>
          <w:lang w:val="en-US"/>
        </w:rPr>
        <w:t xml:space="preserve"> new parties.</w:t>
      </w:r>
    </w:p>
    <w:p w14:paraId="0E182A9B" w14:textId="5DA48ED0" w:rsidR="007E23B0" w:rsidRDefault="00EF396D" w:rsidP="008C0D50">
      <w:pPr>
        <w:jc w:val="both"/>
        <w:rPr>
          <w:noProof/>
          <w:lang w:val="en-US"/>
        </w:rPr>
      </w:pPr>
      <w:r>
        <w:rPr>
          <w:noProof/>
          <w:lang w:val="en-US"/>
        </w:rPr>
        <w:t xml:space="preserve">The operationalization of </w:t>
      </w:r>
      <w:r w:rsidR="007E3A6D">
        <w:rPr>
          <w:noProof/>
          <w:lang w:val="en-US"/>
        </w:rPr>
        <w:t xml:space="preserve">the above </w:t>
      </w:r>
      <w:r>
        <w:rPr>
          <w:noProof/>
          <w:lang w:val="en-US"/>
        </w:rPr>
        <w:t xml:space="preserve">threefolded division between parties is rather straightforward. </w:t>
      </w:r>
      <w:r w:rsidR="009A7E53">
        <w:rPr>
          <w:noProof/>
          <w:lang w:val="en-US"/>
        </w:rPr>
        <w:t>We follow</w:t>
      </w:r>
      <w:r>
        <w:rPr>
          <w:noProof/>
          <w:lang w:val="en-US"/>
        </w:rPr>
        <w:t xml:space="preserve"> Belgian experts and academic scholars </w:t>
      </w:r>
      <w:r w:rsidR="009A7E53">
        <w:rPr>
          <w:noProof/>
          <w:lang w:val="en-US"/>
        </w:rPr>
        <w:t>and regard</w:t>
      </w:r>
      <w:r>
        <w:rPr>
          <w:noProof/>
          <w:lang w:val="en-US"/>
        </w:rPr>
        <w:t xml:space="preserve"> the greens and the socialdemocrat</w:t>
      </w:r>
      <w:r w:rsidR="009A7E53">
        <w:rPr>
          <w:noProof/>
          <w:lang w:val="en-US"/>
        </w:rPr>
        <w:t xml:space="preserve"> and the new extreme labour party (PVDA)</w:t>
      </w:r>
      <w:r>
        <w:rPr>
          <w:noProof/>
          <w:lang w:val="en-US"/>
        </w:rPr>
        <w:t xml:space="preserve"> as leftist parties. The christian democrats, liberals, regionalists and extreme right pary on the other hand are considered rightist. Both content analyses of the national party manifesto by the </w:t>
      </w:r>
      <w:r w:rsidRPr="00EF396D">
        <w:rPr>
          <w:i/>
          <w:noProof/>
          <w:lang w:val="en-US"/>
        </w:rPr>
        <w:t>Manifesto Project</w:t>
      </w:r>
      <w:r>
        <w:rPr>
          <w:i/>
          <w:noProof/>
          <w:lang w:val="en-US"/>
        </w:rPr>
        <w:t xml:space="preserve"> Datab</w:t>
      </w:r>
      <w:r w:rsidR="0034098B">
        <w:rPr>
          <w:i/>
          <w:noProof/>
          <w:lang w:val="en-US"/>
        </w:rPr>
        <w:t>a</w:t>
      </w:r>
      <w:r>
        <w:rPr>
          <w:i/>
          <w:noProof/>
          <w:lang w:val="en-US"/>
        </w:rPr>
        <w:t xml:space="preserve">se </w:t>
      </w:r>
      <w:r>
        <w:rPr>
          <w:noProof/>
          <w:lang w:val="en-US"/>
        </w:rPr>
        <w:t xml:space="preserve">and </w:t>
      </w:r>
      <w:r w:rsidR="004E6057">
        <w:rPr>
          <w:noProof/>
          <w:lang w:val="en-US"/>
        </w:rPr>
        <w:t xml:space="preserve">subjective self-placement scales of members (Van Haute et al., 2013) </w:t>
      </w:r>
      <w:r w:rsidR="009A7E53">
        <w:rPr>
          <w:noProof/>
          <w:lang w:val="en-US"/>
        </w:rPr>
        <w:t>confirm this dichotomy</w:t>
      </w:r>
      <w:r w:rsidR="004E6057">
        <w:rPr>
          <w:noProof/>
          <w:lang w:val="en-US"/>
        </w:rPr>
        <w:t xml:space="preserve">. </w:t>
      </w:r>
      <w:r w:rsidR="007E3A6D">
        <w:rPr>
          <w:noProof/>
          <w:lang w:val="en-US"/>
        </w:rPr>
        <w:t xml:space="preserve">Referring to </w:t>
      </w:r>
      <w:r w:rsidR="00E8728D">
        <w:rPr>
          <w:noProof/>
          <w:lang w:val="en-US"/>
        </w:rPr>
        <w:t>the continuing impact of the founding conte</w:t>
      </w:r>
      <w:r w:rsidR="00940070">
        <w:rPr>
          <w:noProof/>
          <w:lang w:val="en-US"/>
        </w:rPr>
        <w:t>x</w:t>
      </w:r>
      <w:r w:rsidR="00E8728D">
        <w:rPr>
          <w:noProof/>
          <w:lang w:val="en-US"/>
        </w:rPr>
        <w:t xml:space="preserve">t, only the social democrats can be classified as a </w:t>
      </w:r>
      <w:r w:rsidR="007E3A6D">
        <w:rPr>
          <w:noProof/>
          <w:lang w:val="en-US"/>
        </w:rPr>
        <w:t xml:space="preserve">true </w:t>
      </w:r>
      <w:r w:rsidR="00E8728D">
        <w:rPr>
          <w:noProof/>
          <w:lang w:val="en-US"/>
        </w:rPr>
        <w:t xml:space="preserve">mass party. </w:t>
      </w:r>
      <w:r w:rsidR="00FC1C3A">
        <w:rPr>
          <w:noProof/>
          <w:lang w:val="en-US"/>
        </w:rPr>
        <w:t xml:space="preserve">This extra-parliamentary party was set up </w:t>
      </w:r>
      <w:r w:rsidR="007E3A6D">
        <w:rPr>
          <w:noProof/>
          <w:lang w:val="en-US"/>
        </w:rPr>
        <w:t xml:space="preserve">in 1885 </w:t>
      </w:r>
      <w:r w:rsidR="00FC1C3A">
        <w:rPr>
          <w:noProof/>
          <w:lang w:val="en-US"/>
        </w:rPr>
        <w:t xml:space="preserve">to represent the interest of all blue collar workers and to recruit as many as possible. </w:t>
      </w:r>
      <w:r w:rsidR="0011322E">
        <w:rPr>
          <w:noProof/>
          <w:lang w:val="en-US"/>
        </w:rPr>
        <w:t>Separating</w:t>
      </w:r>
      <w:r w:rsidR="007E3A6D">
        <w:rPr>
          <w:noProof/>
          <w:lang w:val="en-US"/>
        </w:rPr>
        <w:t xml:space="preserve"> traditional and new parties, however, is based on their age. </w:t>
      </w:r>
      <w:r w:rsidR="005B0913">
        <w:rPr>
          <w:noProof/>
          <w:lang w:val="en-US"/>
        </w:rPr>
        <w:t xml:space="preserve">The Belgian party system, and both regional ones, are characterized by three </w:t>
      </w:r>
      <w:r w:rsidR="007E3A6D">
        <w:rPr>
          <w:noProof/>
          <w:lang w:val="en-US"/>
        </w:rPr>
        <w:t>‘pillar’ parties</w:t>
      </w:r>
      <w:r w:rsidR="005B0913">
        <w:rPr>
          <w:noProof/>
          <w:lang w:val="en-US"/>
        </w:rPr>
        <w:t>: the liberal party, the christian</w:t>
      </w:r>
      <w:r w:rsidR="007E3A6D">
        <w:rPr>
          <w:noProof/>
          <w:lang w:val="en-US"/>
        </w:rPr>
        <w:t>-</w:t>
      </w:r>
      <w:r w:rsidR="005B0913">
        <w:rPr>
          <w:noProof/>
          <w:lang w:val="en-US"/>
        </w:rPr>
        <w:t>democrat</w:t>
      </w:r>
      <w:r w:rsidR="007E3A6D">
        <w:rPr>
          <w:noProof/>
          <w:lang w:val="en-US"/>
        </w:rPr>
        <w:t>ic party</w:t>
      </w:r>
      <w:r w:rsidR="005B0913">
        <w:rPr>
          <w:noProof/>
          <w:lang w:val="en-US"/>
        </w:rPr>
        <w:t xml:space="preserve"> and the socialist</w:t>
      </w:r>
      <w:r w:rsidR="007E3A6D">
        <w:rPr>
          <w:noProof/>
          <w:lang w:val="en-US"/>
        </w:rPr>
        <w:t xml:space="preserve"> party</w:t>
      </w:r>
      <w:r w:rsidR="005B0913">
        <w:rPr>
          <w:noProof/>
          <w:lang w:val="en-US"/>
        </w:rPr>
        <w:t xml:space="preserve">. </w:t>
      </w:r>
      <w:r w:rsidR="007E3A6D">
        <w:rPr>
          <w:noProof/>
          <w:lang w:val="en-US"/>
        </w:rPr>
        <w:t xml:space="preserve">All three </w:t>
      </w:r>
      <w:r w:rsidR="005B0913">
        <w:rPr>
          <w:noProof/>
          <w:lang w:val="en-US"/>
        </w:rPr>
        <w:t xml:space="preserve">had and shared </w:t>
      </w:r>
      <w:r w:rsidR="009A1910">
        <w:rPr>
          <w:noProof/>
          <w:lang w:val="en-US"/>
        </w:rPr>
        <w:t>political power at the e</w:t>
      </w:r>
      <w:r w:rsidR="005B0913">
        <w:rPr>
          <w:noProof/>
          <w:lang w:val="en-US"/>
        </w:rPr>
        <w:t>nd of the 19</w:t>
      </w:r>
      <w:r w:rsidR="005B0913" w:rsidRPr="005B0913">
        <w:rPr>
          <w:noProof/>
          <w:vertAlign w:val="superscript"/>
          <w:lang w:val="en-US"/>
        </w:rPr>
        <w:t>th</w:t>
      </w:r>
      <w:r w:rsidR="005B0913">
        <w:rPr>
          <w:noProof/>
          <w:lang w:val="en-US"/>
        </w:rPr>
        <w:t xml:space="preserve"> century and almost during the complete 20</w:t>
      </w:r>
      <w:r w:rsidR="005B0913" w:rsidRPr="005B0913">
        <w:rPr>
          <w:noProof/>
          <w:vertAlign w:val="superscript"/>
          <w:lang w:val="en-US"/>
        </w:rPr>
        <w:t>th</w:t>
      </w:r>
      <w:r w:rsidR="005B0913">
        <w:rPr>
          <w:noProof/>
          <w:lang w:val="en-US"/>
        </w:rPr>
        <w:t xml:space="preserve"> century. Only </w:t>
      </w:r>
      <w:r w:rsidR="009A7E53">
        <w:rPr>
          <w:noProof/>
          <w:lang w:val="en-US"/>
        </w:rPr>
        <w:t>later</w:t>
      </w:r>
      <w:r w:rsidR="005B0913">
        <w:rPr>
          <w:noProof/>
          <w:lang w:val="en-US"/>
        </w:rPr>
        <w:t xml:space="preserve"> new parties began to </w:t>
      </w:r>
      <w:r w:rsidR="00C20176">
        <w:rPr>
          <w:noProof/>
          <w:lang w:val="en-US"/>
        </w:rPr>
        <w:t xml:space="preserve">emerge, starting with </w:t>
      </w:r>
      <w:r w:rsidR="0011322E">
        <w:rPr>
          <w:noProof/>
          <w:lang w:val="en-US"/>
        </w:rPr>
        <w:t xml:space="preserve">the regionalist party, </w:t>
      </w:r>
      <w:r w:rsidR="00C20176">
        <w:rPr>
          <w:noProof/>
          <w:lang w:val="en-US"/>
        </w:rPr>
        <w:t>the greens</w:t>
      </w:r>
      <w:r w:rsidR="0011322E">
        <w:rPr>
          <w:noProof/>
          <w:lang w:val="en-US"/>
        </w:rPr>
        <w:t xml:space="preserve"> and</w:t>
      </w:r>
      <w:r w:rsidR="00C20176">
        <w:rPr>
          <w:noProof/>
          <w:lang w:val="en-US"/>
        </w:rPr>
        <w:t xml:space="preserve"> the extreme right</w:t>
      </w:r>
      <w:r w:rsidR="0011322E">
        <w:rPr>
          <w:noProof/>
          <w:lang w:val="en-US"/>
        </w:rPr>
        <w:t>ists</w:t>
      </w:r>
      <w:r w:rsidR="007E3A6D">
        <w:rPr>
          <w:noProof/>
          <w:lang w:val="en-US"/>
        </w:rPr>
        <w:t>.</w:t>
      </w:r>
      <w:r w:rsidR="009A7E53">
        <w:rPr>
          <w:noProof/>
          <w:lang w:val="en-US"/>
        </w:rPr>
        <w:t xml:space="preserve"> Neither of them was able to recreate the immense pillarized party structure of the three traditional parties.</w:t>
      </w:r>
      <w:r w:rsidR="007E3A6D">
        <w:rPr>
          <w:noProof/>
          <w:lang w:val="en-US"/>
        </w:rPr>
        <w:t xml:space="preserve"> In recent elections </w:t>
      </w:r>
      <w:r w:rsidR="00C20176">
        <w:rPr>
          <w:noProof/>
          <w:lang w:val="en-US"/>
        </w:rPr>
        <w:t>the extreme left labour party</w:t>
      </w:r>
      <w:r w:rsidR="007E3A6D">
        <w:rPr>
          <w:noProof/>
          <w:lang w:val="en-US"/>
        </w:rPr>
        <w:t xml:space="preserve"> returned on the political scenery as a viable political choice</w:t>
      </w:r>
      <w:r w:rsidR="00C20176">
        <w:rPr>
          <w:noProof/>
          <w:lang w:val="en-US"/>
        </w:rPr>
        <w:t xml:space="preserve">. </w:t>
      </w:r>
    </w:p>
    <w:p w14:paraId="50273614" w14:textId="3E7BE6A5" w:rsidR="008C0D50" w:rsidRPr="00C20176" w:rsidRDefault="00C20176" w:rsidP="008C0D50">
      <w:pPr>
        <w:jc w:val="both"/>
        <w:rPr>
          <w:i/>
          <w:noProof/>
          <w:lang w:val="en-US"/>
        </w:rPr>
      </w:pPr>
      <w:r w:rsidRPr="00C20176">
        <w:rPr>
          <w:i/>
          <w:noProof/>
          <w:lang w:val="en-US"/>
        </w:rPr>
        <w:t>Context effect</w:t>
      </w:r>
    </w:p>
    <w:p w14:paraId="219B4018" w14:textId="7809CE47" w:rsidR="009D2D52" w:rsidRDefault="00D90B6B" w:rsidP="0083347E">
      <w:pPr>
        <w:jc w:val="both"/>
        <w:rPr>
          <w:noProof/>
          <w:lang w:val="en-US"/>
        </w:rPr>
      </w:pPr>
      <w:r w:rsidRPr="00C20176">
        <w:rPr>
          <w:noProof/>
          <w:lang w:val="en-US"/>
        </w:rPr>
        <w:t xml:space="preserve">With regard to the municipal </w:t>
      </w:r>
      <w:r w:rsidR="009D2D52">
        <w:rPr>
          <w:noProof/>
          <w:lang w:val="en-US"/>
        </w:rPr>
        <w:t xml:space="preserve">political </w:t>
      </w:r>
      <w:r w:rsidRPr="00C20176">
        <w:rPr>
          <w:noProof/>
          <w:lang w:val="en-US"/>
        </w:rPr>
        <w:t>context we discern</w:t>
      </w:r>
      <w:r w:rsidR="00954368" w:rsidRPr="00C20176">
        <w:rPr>
          <w:noProof/>
          <w:lang w:val="en-US"/>
        </w:rPr>
        <w:t xml:space="preserve"> two factors that could explain variation </w:t>
      </w:r>
      <w:r w:rsidR="00C20176" w:rsidRPr="00C20176">
        <w:rPr>
          <w:noProof/>
          <w:lang w:val="en-US"/>
        </w:rPr>
        <w:t>within</w:t>
      </w:r>
      <w:r w:rsidR="00954368" w:rsidRPr="00C20176">
        <w:rPr>
          <w:noProof/>
          <w:lang w:val="en-US"/>
        </w:rPr>
        <w:t xml:space="preserve"> </w:t>
      </w:r>
      <w:r w:rsidR="00C20176" w:rsidRPr="00C20176">
        <w:rPr>
          <w:noProof/>
          <w:lang w:val="en-US"/>
        </w:rPr>
        <w:t xml:space="preserve">ideological </w:t>
      </w:r>
      <w:r w:rsidR="00954368" w:rsidRPr="00C20176">
        <w:rPr>
          <w:noProof/>
          <w:lang w:val="en-US"/>
        </w:rPr>
        <w:t xml:space="preserve">nationalization: </w:t>
      </w:r>
      <w:r w:rsidR="0027487F" w:rsidRPr="008A1C55">
        <w:rPr>
          <w:noProof/>
          <w:lang w:val="en-US"/>
        </w:rPr>
        <w:t>local government participation</w:t>
      </w:r>
      <w:r w:rsidR="0083347E" w:rsidRPr="0083347E">
        <w:rPr>
          <w:noProof/>
          <w:lang w:val="en-US"/>
        </w:rPr>
        <w:t xml:space="preserve"> </w:t>
      </w:r>
      <w:r w:rsidR="0083347E">
        <w:rPr>
          <w:noProof/>
          <w:lang w:val="en-US"/>
        </w:rPr>
        <w:t xml:space="preserve">and </w:t>
      </w:r>
      <w:r w:rsidR="0083347E" w:rsidRPr="008A1C55">
        <w:rPr>
          <w:noProof/>
          <w:lang w:val="en-US"/>
        </w:rPr>
        <w:t>municipality size</w:t>
      </w:r>
      <w:r w:rsidR="0027487F" w:rsidRPr="00C20176">
        <w:rPr>
          <w:noProof/>
          <w:lang w:val="en-US"/>
        </w:rPr>
        <w:t>.</w:t>
      </w:r>
      <w:r w:rsidR="00954368">
        <w:rPr>
          <w:noProof/>
          <w:lang w:val="en-US"/>
        </w:rPr>
        <w:t xml:space="preserve"> </w:t>
      </w:r>
    </w:p>
    <w:p w14:paraId="26333447" w14:textId="4F2CDE75" w:rsidR="008A1C55" w:rsidRDefault="008A1C55" w:rsidP="008A1C55">
      <w:pPr>
        <w:jc w:val="both"/>
        <w:rPr>
          <w:lang w:val="en-US"/>
        </w:rPr>
      </w:pPr>
      <w:r>
        <w:rPr>
          <w:lang w:val="en-US"/>
        </w:rPr>
        <w:lastRenderedPageBreak/>
        <w:t>First, we distinguish between parties belonging to the majority before 2012 and those who were not. We assume that branches participating in local government have</w:t>
      </w:r>
      <w:r w:rsidR="0011322E">
        <w:rPr>
          <w:lang w:val="en-US"/>
        </w:rPr>
        <w:t xml:space="preserve"> an information advantage over </w:t>
      </w:r>
      <w:r>
        <w:rPr>
          <w:lang w:val="en-US"/>
        </w:rPr>
        <w:t xml:space="preserve"> branches that belong to the opposition</w:t>
      </w:r>
      <w:r w:rsidR="0011322E">
        <w:rPr>
          <w:lang w:val="en-US"/>
        </w:rPr>
        <w:t>. T</w:t>
      </w:r>
      <w:r>
        <w:rPr>
          <w:lang w:val="en-US"/>
        </w:rPr>
        <w:t>he first have aldermen or a mayor at their disposal</w:t>
      </w:r>
      <w:r w:rsidR="0011322E">
        <w:rPr>
          <w:lang w:val="en-US"/>
        </w:rPr>
        <w:t>, often</w:t>
      </w:r>
      <w:r>
        <w:rPr>
          <w:lang w:val="en-US"/>
        </w:rPr>
        <w:t xml:space="preserve"> (semi-)professional politicians</w:t>
      </w:r>
      <w:r w:rsidR="0011322E">
        <w:rPr>
          <w:lang w:val="en-US"/>
        </w:rPr>
        <w:t>,</w:t>
      </w:r>
      <w:r>
        <w:rPr>
          <w:lang w:val="en-US"/>
        </w:rPr>
        <w:t xml:space="preserve"> </w:t>
      </w:r>
      <w:r w:rsidR="0011322E">
        <w:rPr>
          <w:lang w:val="en-US"/>
        </w:rPr>
        <w:t>that</w:t>
      </w:r>
      <w:r>
        <w:rPr>
          <w:lang w:val="en-US"/>
        </w:rPr>
        <w:t xml:space="preserve"> can spend more of their time to politics than amateur politicians and can, for instance, write a tailor-made program for their municipality. As a result, we expect parties that belonged to the majority will be less dependent on the central party for programmatic input. This leads to a third hypothesis:</w:t>
      </w:r>
    </w:p>
    <w:p w14:paraId="15694A42" w14:textId="67938944" w:rsidR="008A1C55" w:rsidRPr="008A1C55" w:rsidRDefault="008A1C55" w:rsidP="008A1C55">
      <w:pPr>
        <w:autoSpaceDE w:val="0"/>
        <w:autoSpaceDN w:val="0"/>
        <w:jc w:val="both"/>
        <w:rPr>
          <w:noProof/>
          <w:lang w:val="en-US"/>
        </w:rPr>
      </w:pPr>
      <w:r w:rsidRPr="008A1C55">
        <w:rPr>
          <w:noProof/>
          <w:lang w:val="en-US"/>
        </w:rPr>
        <w:t xml:space="preserve">H3: local party branches that participated in the outgoing local governing majority are less ideologically nationalized than parties who were in opposition. </w:t>
      </w:r>
    </w:p>
    <w:p w14:paraId="5F7F67DF" w14:textId="23237DD7" w:rsidR="0083347E" w:rsidRDefault="009D266F" w:rsidP="0083347E">
      <w:pPr>
        <w:jc w:val="both"/>
        <w:rPr>
          <w:noProof/>
          <w:lang w:val="en-US"/>
        </w:rPr>
      </w:pPr>
      <w:r>
        <w:rPr>
          <w:noProof/>
          <w:lang w:val="en-US"/>
        </w:rPr>
        <w:t xml:space="preserve">The data concerning municipal governing coalitions was provided by the </w:t>
      </w:r>
      <w:r w:rsidR="0083347E" w:rsidRPr="006E2299">
        <w:rPr>
          <w:noProof/>
          <w:lang w:val="en-US"/>
        </w:rPr>
        <w:t xml:space="preserve">Flemish ministery of internal affairs. </w:t>
      </w:r>
      <w:r>
        <w:rPr>
          <w:noProof/>
          <w:lang w:val="en-US"/>
        </w:rPr>
        <w:t>Our</w:t>
      </w:r>
      <w:r w:rsidR="0083347E" w:rsidRPr="0066464D">
        <w:rPr>
          <w:noProof/>
          <w:lang w:val="en-US"/>
        </w:rPr>
        <w:t xml:space="preserve"> dataset consists of 55 parties that reside in the local coalition (61.8%), whereas 34 local branches (38.2%) didn’t belong to the majority or didn’t occupy any seats in the local council at all.</w:t>
      </w:r>
    </w:p>
    <w:p w14:paraId="78C708E9" w14:textId="59E04482" w:rsidR="008A1C55" w:rsidRDefault="008A1C55" w:rsidP="008A1C55">
      <w:pPr>
        <w:jc w:val="both"/>
        <w:rPr>
          <w:lang w:val="en-US"/>
        </w:rPr>
      </w:pPr>
      <w:r>
        <w:rPr>
          <w:lang w:val="en-US"/>
        </w:rPr>
        <w:t xml:space="preserve">Variation in nationalization is often explained by looking at municipality size. E.g. </w:t>
      </w:r>
      <w:proofErr w:type="spellStart"/>
      <w:r>
        <w:rPr>
          <w:lang w:val="en-US"/>
        </w:rPr>
        <w:t>Ennser</w:t>
      </w:r>
      <w:proofErr w:type="spellEnd"/>
      <w:r>
        <w:rPr>
          <w:lang w:val="en-US"/>
        </w:rPr>
        <w:t xml:space="preserve"> and Hansen (2013) and </w:t>
      </w:r>
      <w:proofErr w:type="spellStart"/>
      <w:r>
        <w:rPr>
          <w:lang w:val="en-US"/>
        </w:rPr>
        <w:t>Kjaer</w:t>
      </w:r>
      <w:proofErr w:type="spellEnd"/>
      <w:r>
        <w:rPr>
          <w:lang w:val="en-US"/>
        </w:rPr>
        <w:t xml:space="preserve"> and </w:t>
      </w:r>
      <w:proofErr w:type="spellStart"/>
      <w:r>
        <w:rPr>
          <w:lang w:val="en-US"/>
        </w:rPr>
        <w:t>Elklit</w:t>
      </w:r>
      <w:proofErr w:type="spellEnd"/>
      <w:r>
        <w:rPr>
          <w:lang w:val="en-US"/>
        </w:rPr>
        <w:t xml:space="preserve"> (2010) found that the nationalization of the party system is positively related to the size of a municipality. The resemblance between the national and the local party system is larger in cities compared to small municipalities. Since both studies focus on another dimension of nationalization we cannot automatically conclude that the ideological nationalization will probably be more outspoken in larger cities. To a certain level the theoretical framework of the franchise party (Carty 2004) does also seem to point in this direction. According to this model parties are very concerned with providing a consistent ideological message to its supporters and the electorate. In this way cities can be considered as strategically more important for the party brand and the consistency of the party message because they get a lot more media-attention. This could mean that the party at the central level will try to influence the electoral manifesto’s of their local branches more in large cities than in small municipalities. On the other hand, Carty (2004:11) also states that within a franchise party the relationship between the central party and the local branches can vary significantly. Larger or more important local branches may have more independence than smaller or less vital local branches. Hence, based on these mixed expectations we formulate two opposite hypotheses:</w:t>
      </w:r>
    </w:p>
    <w:p w14:paraId="06ADD998" w14:textId="77777777" w:rsidR="008A1C55" w:rsidRPr="0034098B" w:rsidRDefault="008A1C55" w:rsidP="008A1C55">
      <w:pPr>
        <w:jc w:val="both"/>
        <w:rPr>
          <w:iCs/>
          <w:lang w:val="en-US"/>
        </w:rPr>
      </w:pPr>
      <w:r w:rsidRPr="0034098B">
        <w:rPr>
          <w:iCs/>
          <w:lang w:val="en-US"/>
        </w:rPr>
        <w:t>H4a: municipality size and the degree of ideological nationalization are positively related.</w:t>
      </w:r>
    </w:p>
    <w:p w14:paraId="568154F0" w14:textId="77777777" w:rsidR="008A1C55" w:rsidRPr="0034098B" w:rsidRDefault="008A1C55" w:rsidP="008A1C55">
      <w:pPr>
        <w:jc w:val="both"/>
        <w:rPr>
          <w:iCs/>
          <w:lang w:val="en-US"/>
        </w:rPr>
      </w:pPr>
      <w:r w:rsidRPr="0034098B">
        <w:rPr>
          <w:iCs/>
          <w:lang w:val="en-US"/>
        </w:rPr>
        <w:t>H4b: municipality size and the degree of ideological nationalization are negatively related.</w:t>
      </w:r>
    </w:p>
    <w:p w14:paraId="38B60FDA" w14:textId="3A422839" w:rsidR="003D0C45" w:rsidRPr="003D0C45" w:rsidRDefault="006E2299" w:rsidP="003D0C45">
      <w:pPr>
        <w:rPr>
          <w:noProof/>
          <w:lang w:val="en-US"/>
        </w:rPr>
      </w:pPr>
      <w:r>
        <w:rPr>
          <w:noProof/>
          <w:lang w:val="en-US"/>
        </w:rPr>
        <w:t xml:space="preserve">In order to test these hypotheses </w:t>
      </w:r>
      <w:r w:rsidRPr="003D0C45">
        <w:rPr>
          <w:noProof/>
          <w:lang w:val="en-US"/>
        </w:rPr>
        <w:t xml:space="preserve">the absolute number of inhabitants per municipality </w:t>
      </w:r>
      <w:r>
        <w:rPr>
          <w:noProof/>
          <w:lang w:val="en-US"/>
        </w:rPr>
        <w:t xml:space="preserve">was used </w:t>
      </w:r>
      <w:r w:rsidRPr="003D0C45">
        <w:rPr>
          <w:noProof/>
          <w:lang w:val="en-US"/>
        </w:rPr>
        <w:t>as a proxy for the</w:t>
      </w:r>
      <w:r w:rsidR="004876F9">
        <w:rPr>
          <w:noProof/>
          <w:lang w:val="en-US"/>
        </w:rPr>
        <w:t xml:space="preserve"> municipality or community</w:t>
      </w:r>
      <w:r w:rsidRPr="003D0C45">
        <w:rPr>
          <w:noProof/>
          <w:lang w:val="en-US"/>
        </w:rPr>
        <w:t xml:space="preserve"> size. </w:t>
      </w:r>
    </w:p>
    <w:p w14:paraId="5329C520" w14:textId="12978144" w:rsidR="00381A60" w:rsidRPr="00DF2C32" w:rsidRDefault="00976AF2" w:rsidP="008C0D50">
      <w:pPr>
        <w:jc w:val="both"/>
        <w:rPr>
          <w:b/>
          <w:noProof/>
          <w:lang w:val="en-US"/>
        </w:rPr>
      </w:pPr>
      <w:r>
        <w:rPr>
          <w:b/>
          <w:noProof/>
          <w:lang w:val="en-US"/>
        </w:rPr>
        <w:t>Presentation of the r</w:t>
      </w:r>
      <w:r w:rsidRPr="00DF2C32">
        <w:rPr>
          <w:b/>
          <w:noProof/>
          <w:lang w:val="en-US"/>
        </w:rPr>
        <w:t xml:space="preserve">egression </w:t>
      </w:r>
      <w:r w:rsidR="006D7AFB" w:rsidRPr="00DF2C32">
        <w:rPr>
          <w:b/>
          <w:noProof/>
          <w:lang w:val="en-US"/>
        </w:rPr>
        <w:t>Model</w:t>
      </w:r>
      <w:r w:rsidR="00252CA5">
        <w:rPr>
          <w:b/>
          <w:noProof/>
          <w:lang w:val="en-US"/>
        </w:rPr>
        <w:t>: variety explained</w:t>
      </w:r>
    </w:p>
    <w:p w14:paraId="26D7E26A" w14:textId="26EF8838" w:rsidR="004876F9" w:rsidRDefault="001F4A93" w:rsidP="001F4A93">
      <w:pPr>
        <w:jc w:val="both"/>
        <w:rPr>
          <w:noProof/>
          <w:lang w:val="en-US"/>
        </w:rPr>
      </w:pPr>
      <w:r>
        <w:rPr>
          <w:noProof/>
          <w:lang w:val="en-US"/>
        </w:rPr>
        <w:t xml:space="preserve">Before introducing the multivariate model we look at </w:t>
      </w:r>
      <w:r w:rsidR="004876F9">
        <w:rPr>
          <w:noProof/>
          <w:lang w:val="en-US"/>
        </w:rPr>
        <w:t xml:space="preserve">the relevant </w:t>
      </w:r>
      <w:r>
        <w:rPr>
          <w:noProof/>
          <w:lang w:val="en-US"/>
        </w:rPr>
        <w:t>bivariate analyses of our independent variables and the RNS. Starting off with the difference between parties, f</w:t>
      </w:r>
      <w:r w:rsidRPr="008C0D50">
        <w:rPr>
          <w:noProof/>
          <w:lang w:val="en-US"/>
        </w:rPr>
        <w:t xml:space="preserve">igure 2 </w:t>
      </w:r>
      <w:r>
        <w:rPr>
          <w:noProof/>
          <w:lang w:val="en-US"/>
        </w:rPr>
        <w:t xml:space="preserve">is a zoomed in </w:t>
      </w:r>
      <w:r w:rsidRPr="008C0D50">
        <w:rPr>
          <w:noProof/>
          <w:lang w:val="en-US"/>
        </w:rPr>
        <w:t>distribution</w:t>
      </w:r>
      <w:r w:rsidR="004876F9">
        <w:rPr>
          <w:noProof/>
          <w:lang w:val="en-US"/>
        </w:rPr>
        <w:t xml:space="preserve"> </w:t>
      </w:r>
      <w:r w:rsidRPr="008C0D50">
        <w:rPr>
          <w:noProof/>
          <w:lang w:val="en-US"/>
        </w:rPr>
        <w:t xml:space="preserve">plot </w:t>
      </w:r>
      <w:r>
        <w:rPr>
          <w:noProof/>
          <w:lang w:val="en-US"/>
        </w:rPr>
        <w:t xml:space="preserve">of the nationalization scores </w:t>
      </w:r>
      <w:r w:rsidRPr="008C0D50">
        <w:rPr>
          <w:noProof/>
          <w:lang w:val="en-US"/>
        </w:rPr>
        <w:t xml:space="preserve">between 0.6 and 0.8. That way, we can easily compare </w:t>
      </w:r>
      <w:r w:rsidR="004876F9">
        <w:rPr>
          <w:noProof/>
          <w:lang w:val="en-US"/>
        </w:rPr>
        <w:t xml:space="preserve">all seven </w:t>
      </w:r>
      <w:r w:rsidRPr="008C0D50">
        <w:rPr>
          <w:noProof/>
          <w:lang w:val="en-US"/>
        </w:rPr>
        <w:t>parties and</w:t>
      </w:r>
      <w:r w:rsidR="004876F9">
        <w:rPr>
          <w:noProof/>
          <w:lang w:val="en-US"/>
        </w:rPr>
        <w:t xml:space="preserve"> compare each party score</w:t>
      </w:r>
      <w:r w:rsidRPr="008C0D50">
        <w:rPr>
          <w:noProof/>
          <w:lang w:val="en-US"/>
        </w:rPr>
        <w:t xml:space="preserve"> to the entire sample. </w:t>
      </w:r>
      <w:r w:rsidR="00766F7A">
        <w:rPr>
          <w:noProof/>
          <w:lang w:val="en-US"/>
        </w:rPr>
        <w:t>C</w:t>
      </w:r>
      <w:r w:rsidR="000D545A">
        <w:rPr>
          <w:noProof/>
          <w:lang w:val="en-US"/>
        </w:rPr>
        <w:t>ontrary to our expectations, none of our proposed party types shows a clear elevated or diminshed nationalization degree</w:t>
      </w:r>
      <w:r w:rsidR="004876F9">
        <w:rPr>
          <w:noProof/>
          <w:lang w:val="en-US"/>
        </w:rPr>
        <w:t>:</w:t>
      </w:r>
    </w:p>
    <w:p w14:paraId="2E654EEB" w14:textId="1951C95E" w:rsidR="004876F9" w:rsidRDefault="004876F9" w:rsidP="00DE5940">
      <w:pPr>
        <w:pStyle w:val="ListParagraph"/>
        <w:numPr>
          <w:ilvl w:val="0"/>
          <w:numId w:val="1"/>
        </w:numPr>
        <w:jc w:val="both"/>
        <w:rPr>
          <w:noProof/>
          <w:lang w:val="en-US"/>
        </w:rPr>
      </w:pPr>
      <w:r>
        <w:rPr>
          <w:noProof/>
          <w:lang w:val="en-US"/>
        </w:rPr>
        <w:lastRenderedPageBreak/>
        <w:t>t</w:t>
      </w:r>
      <w:r w:rsidR="000D545A" w:rsidRPr="004876F9">
        <w:rPr>
          <w:noProof/>
          <w:lang w:val="en-US"/>
        </w:rPr>
        <w:t>he right wing parties are somewhat evenly distributed between higher scores (N-VA), medium scores (CD&amp;V and VLD) and lower scores (Vlaams Belang)</w:t>
      </w:r>
    </w:p>
    <w:p w14:paraId="0348874D" w14:textId="400DB76B" w:rsidR="004876F9" w:rsidRDefault="004876F9" w:rsidP="00DE5940">
      <w:pPr>
        <w:pStyle w:val="ListParagraph"/>
        <w:numPr>
          <w:ilvl w:val="0"/>
          <w:numId w:val="1"/>
        </w:numPr>
        <w:jc w:val="both"/>
        <w:rPr>
          <w:noProof/>
          <w:lang w:val="en-US"/>
        </w:rPr>
      </w:pPr>
      <w:r>
        <w:rPr>
          <w:noProof/>
          <w:lang w:val="en-US"/>
        </w:rPr>
        <w:t>t</w:t>
      </w:r>
      <w:r w:rsidR="00870718" w:rsidRPr="004876F9">
        <w:rPr>
          <w:noProof/>
          <w:lang w:val="en-US"/>
        </w:rPr>
        <w:t>he social democratic party Sp.a does not lead the nationalization list but just surpasses the average score</w:t>
      </w:r>
    </w:p>
    <w:p w14:paraId="4B112E54" w14:textId="694255B1" w:rsidR="004876F9" w:rsidRDefault="001F4A93" w:rsidP="00DE5940">
      <w:pPr>
        <w:pStyle w:val="ListParagraph"/>
        <w:numPr>
          <w:ilvl w:val="0"/>
          <w:numId w:val="1"/>
        </w:numPr>
        <w:jc w:val="both"/>
        <w:rPr>
          <w:noProof/>
          <w:lang w:val="en-US"/>
        </w:rPr>
      </w:pPr>
      <w:r w:rsidRPr="004876F9">
        <w:rPr>
          <w:noProof/>
          <w:lang w:val="en-US"/>
        </w:rPr>
        <w:t>all traditional parties (Sp.a, CD&amp;V and Open Vld) take an intermediate position</w:t>
      </w:r>
    </w:p>
    <w:p w14:paraId="00CC8F26" w14:textId="252EE7AF" w:rsidR="00CF6F00" w:rsidRDefault="004876F9" w:rsidP="00DE5940">
      <w:pPr>
        <w:pStyle w:val="ListParagraph"/>
        <w:numPr>
          <w:ilvl w:val="0"/>
          <w:numId w:val="1"/>
        </w:numPr>
        <w:jc w:val="both"/>
        <w:rPr>
          <w:noProof/>
          <w:lang w:val="en-US"/>
        </w:rPr>
      </w:pPr>
      <w:r>
        <w:rPr>
          <w:noProof/>
          <w:lang w:val="en-US"/>
        </w:rPr>
        <w:t xml:space="preserve">all </w:t>
      </w:r>
      <w:r w:rsidR="001F4A93" w:rsidRPr="004876F9">
        <w:rPr>
          <w:noProof/>
          <w:lang w:val="en-US"/>
        </w:rPr>
        <w:t>new parties are to be found at both extreme ends</w:t>
      </w:r>
      <w:r>
        <w:rPr>
          <w:noProof/>
          <w:lang w:val="en-US"/>
        </w:rPr>
        <w:t>: at o</w:t>
      </w:r>
      <w:r w:rsidR="001F4A93" w:rsidRPr="004876F9">
        <w:rPr>
          <w:noProof/>
          <w:lang w:val="en-US"/>
        </w:rPr>
        <w:t>ne side we find the regionalist party (N-VA) which is most strongly nationalized (M = .79) and the greens (GROEN) (M = .78)</w:t>
      </w:r>
      <w:r w:rsidR="00CF6F00">
        <w:rPr>
          <w:noProof/>
          <w:lang w:val="en-US"/>
        </w:rPr>
        <w:t>; o</w:t>
      </w:r>
      <w:r w:rsidR="001F4A93" w:rsidRPr="004876F9">
        <w:rPr>
          <w:noProof/>
          <w:lang w:val="en-US"/>
        </w:rPr>
        <w:t xml:space="preserve">n the other side we come across the extreme right party Vlaams Belang </w:t>
      </w:r>
      <w:r w:rsidR="00CF6F00">
        <w:rPr>
          <w:noProof/>
          <w:lang w:val="en-US"/>
        </w:rPr>
        <w:t>(t</w:t>
      </w:r>
      <w:r w:rsidR="001F4A93" w:rsidRPr="004876F9">
        <w:rPr>
          <w:noProof/>
          <w:lang w:val="en-US"/>
        </w:rPr>
        <w:t>his remarkable score implies that all extreme right wing branches can be characterized as weakly nationalized, at least compared to other Flemish parties branches, because both the average and the standard deviation (SD = .06) are very small.</w:t>
      </w:r>
      <w:r w:rsidR="00CF6F00">
        <w:rPr>
          <w:noProof/>
          <w:lang w:val="en-US"/>
        </w:rPr>
        <w:t>)</w:t>
      </w:r>
      <w:r w:rsidR="001F4A93" w:rsidRPr="004876F9">
        <w:rPr>
          <w:noProof/>
          <w:lang w:val="en-US"/>
        </w:rPr>
        <w:t xml:space="preserve"> </w:t>
      </w:r>
    </w:p>
    <w:p w14:paraId="36CDCF29" w14:textId="4D51535B" w:rsidR="00A90FBE" w:rsidRPr="00A90FBE" w:rsidRDefault="00A90FBE" w:rsidP="00A90FBE">
      <w:pPr>
        <w:jc w:val="both"/>
        <w:rPr>
          <w:noProof/>
          <w:lang w:val="en-US"/>
        </w:rPr>
      </w:pPr>
      <w:r w:rsidRPr="00A90FBE">
        <w:rPr>
          <w:b/>
          <w:noProof/>
          <w:lang w:val="en-US"/>
        </w:rPr>
        <w:t>[Figure</w:t>
      </w:r>
      <w:r>
        <w:rPr>
          <w:b/>
          <w:noProof/>
          <w:lang w:val="en-US"/>
        </w:rPr>
        <w:t xml:space="preserve"> 2</w:t>
      </w:r>
      <w:r w:rsidRPr="00A90FBE">
        <w:rPr>
          <w:b/>
          <w:noProof/>
          <w:lang w:val="en-US"/>
        </w:rPr>
        <w:t xml:space="preserve"> around here]</w:t>
      </w:r>
    </w:p>
    <w:p w14:paraId="37FFBB90" w14:textId="7095E3AD" w:rsidR="009A43CF" w:rsidRDefault="00CF6F00" w:rsidP="009A43CF">
      <w:pPr>
        <w:jc w:val="both"/>
        <w:rPr>
          <w:noProof/>
          <w:lang w:val="en-US"/>
        </w:rPr>
      </w:pPr>
      <w:r>
        <w:rPr>
          <w:noProof/>
          <w:lang w:val="en-US"/>
        </w:rPr>
        <w:t xml:space="preserve">Now let’s turn to the context variables. </w:t>
      </w:r>
      <w:r w:rsidR="009A43CF">
        <w:rPr>
          <w:noProof/>
          <w:lang w:val="en-US"/>
        </w:rPr>
        <w:t xml:space="preserve">The </w:t>
      </w:r>
      <w:r w:rsidR="009A43CF" w:rsidRPr="00BC2459">
        <w:rPr>
          <w:noProof/>
          <w:lang w:val="en-US"/>
        </w:rPr>
        <w:t xml:space="preserve">manifestos </w:t>
      </w:r>
      <w:r w:rsidR="009A43CF" w:rsidRPr="0034098B">
        <w:rPr>
          <w:noProof/>
          <w:lang w:val="en-US"/>
        </w:rPr>
        <w:t>of governing party</w:t>
      </w:r>
      <w:r w:rsidR="009A43CF" w:rsidRPr="00BC2459">
        <w:rPr>
          <w:noProof/>
          <w:lang w:val="en-US"/>
        </w:rPr>
        <w:t xml:space="preserve"> branches seem to </w:t>
      </w:r>
      <w:r w:rsidR="009A43CF">
        <w:rPr>
          <w:noProof/>
          <w:lang w:val="en-US"/>
        </w:rPr>
        <w:t xml:space="preserve">have an average RNS </w:t>
      </w:r>
      <w:r w:rsidR="009A43CF" w:rsidRPr="00BC2459">
        <w:rPr>
          <w:noProof/>
          <w:lang w:val="en-US"/>
        </w:rPr>
        <w:t xml:space="preserve">of .76 </w:t>
      </w:r>
      <w:r w:rsidR="009A43CF">
        <w:rPr>
          <w:noProof/>
          <w:lang w:val="en-US"/>
        </w:rPr>
        <w:t xml:space="preserve">while the average RNS of ‘non-majority’ parties was .73 </w:t>
      </w:r>
      <w:r w:rsidR="009A43CF" w:rsidRPr="00BC2459">
        <w:rPr>
          <w:noProof/>
          <w:lang w:val="en-US"/>
        </w:rPr>
        <w:t xml:space="preserve">(p&lt;.001). </w:t>
      </w:r>
      <w:r w:rsidR="00D14F20">
        <w:rPr>
          <w:noProof/>
          <w:lang w:val="en-US"/>
        </w:rPr>
        <w:t>A</w:t>
      </w:r>
      <w:r w:rsidR="009A43CF">
        <w:rPr>
          <w:noProof/>
          <w:lang w:val="en-US"/>
        </w:rPr>
        <w:t xml:space="preserve"> </w:t>
      </w:r>
      <w:r w:rsidR="009A43CF" w:rsidRPr="00BC2459">
        <w:rPr>
          <w:noProof/>
          <w:lang w:val="en-US"/>
        </w:rPr>
        <w:t xml:space="preserve">positive relationship between the Relative </w:t>
      </w:r>
      <w:r w:rsidR="003D1924">
        <w:rPr>
          <w:noProof/>
          <w:lang w:val="en-US"/>
        </w:rPr>
        <w:t>Nationaliz</w:t>
      </w:r>
      <w:r w:rsidR="009A43CF">
        <w:rPr>
          <w:noProof/>
          <w:lang w:val="en-US"/>
        </w:rPr>
        <w:t>ation</w:t>
      </w:r>
      <w:r w:rsidR="009A43CF" w:rsidRPr="00BC2459">
        <w:rPr>
          <w:noProof/>
          <w:lang w:val="en-US"/>
        </w:rPr>
        <w:t xml:space="preserve"> Score and </w:t>
      </w:r>
      <w:r w:rsidR="009A43CF">
        <w:rPr>
          <w:noProof/>
          <w:lang w:val="en-US"/>
        </w:rPr>
        <w:t>belonging to</w:t>
      </w:r>
      <w:r w:rsidR="009A43CF" w:rsidRPr="00BC2459">
        <w:rPr>
          <w:noProof/>
          <w:lang w:val="en-US"/>
        </w:rPr>
        <w:t xml:space="preserve"> the local coalition (Pearson Rho .215, p&lt;.05)</w:t>
      </w:r>
      <w:r w:rsidR="00D14F20">
        <w:rPr>
          <w:noProof/>
          <w:lang w:val="en-US"/>
        </w:rPr>
        <w:t xml:space="preserve"> confirms the descriptives</w:t>
      </w:r>
      <w:r w:rsidR="009A43CF" w:rsidRPr="00BC2459">
        <w:rPr>
          <w:noProof/>
          <w:lang w:val="en-US"/>
        </w:rPr>
        <w:t xml:space="preserve">. </w:t>
      </w:r>
      <w:r w:rsidR="00D14F20">
        <w:rPr>
          <w:noProof/>
          <w:lang w:val="en-US"/>
        </w:rPr>
        <w:t>We</w:t>
      </w:r>
      <w:r w:rsidR="009A43CF">
        <w:rPr>
          <w:noProof/>
          <w:lang w:val="en-US"/>
        </w:rPr>
        <w:t xml:space="preserve"> assumed </w:t>
      </w:r>
      <w:r w:rsidR="009A43CF" w:rsidRPr="00BC2459">
        <w:rPr>
          <w:noProof/>
          <w:lang w:val="en-US"/>
        </w:rPr>
        <w:t xml:space="preserve">an inverse relationship and suggested an effect of professionalism. </w:t>
      </w:r>
      <w:r>
        <w:rPr>
          <w:noProof/>
          <w:lang w:val="en-US"/>
        </w:rPr>
        <w:t xml:space="preserve">The expectation </w:t>
      </w:r>
      <w:r w:rsidR="00D14F20">
        <w:rPr>
          <w:noProof/>
          <w:lang w:val="en-US"/>
        </w:rPr>
        <w:t xml:space="preserve">that mayors or aldermen are </w:t>
      </w:r>
      <w:r w:rsidR="009A43CF" w:rsidRPr="00BC2459">
        <w:rPr>
          <w:noProof/>
          <w:lang w:val="en-US"/>
        </w:rPr>
        <w:t xml:space="preserve">professional political actors </w:t>
      </w:r>
      <w:r w:rsidR="009A43CF">
        <w:rPr>
          <w:noProof/>
          <w:lang w:val="en-US"/>
        </w:rPr>
        <w:t>with an advantage of time and ressources compared to their legislative colleagues</w:t>
      </w:r>
      <w:r>
        <w:rPr>
          <w:noProof/>
          <w:lang w:val="en-US"/>
        </w:rPr>
        <w:t>, does not seem to hold</w:t>
      </w:r>
      <w:r w:rsidR="009A43CF" w:rsidRPr="00BC2459">
        <w:rPr>
          <w:noProof/>
          <w:lang w:val="en-US"/>
        </w:rPr>
        <w:t xml:space="preserve">. </w:t>
      </w:r>
      <w:r>
        <w:rPr>
          <w:noProof/>
          <w:lang w:val="en-US"/>
        </w:rPr>
        <w:t>The results</w:t>
      </w:r>
      <w:r w:rsidR="009A43CF" w:rsidRPr="00BC2459">
        <w:rPr>
          <w:noProof/>
          <w:lang w:val="en-US"/>
        </w:rPr>
        <w:t xml:space="preserve"> indicate an opposite relationship</w:t>
      </w:r>
      <w:r>
        <w:rPr>
          <w:noProof/>
          <w:lang w:val="en-US"/>
        </w:rPr>
        <w:t>:</w:t>
      </w:r>
      <w:r w:rsidR="009A43CF">
        <w:rPr>
          <w:noProof/>
          <w:lang w:val="en-US"/>
        </w:rPr>
        <w:t xml:space="preserve"> local party elites with an executive mandate </w:t>
      </w:r>
      <w:r>
        <w:rPr>
          <w:noProof/>
          <w:lang w:val="en-US"/>
        </w:rPr>
        <w:t xml:space="preserve">seem to keep </w:t>
      </w:r>
      <w:r w:rsidR="009A43CF">
        <w:rPr>
          <w:noProof/>
          <w:lang w:val="en-US"/>
        </w:rPr>
        <w:t>tighter relations with the national party than the ‘less important’ local councillors</w:t>
      </w:r>
      <w:r>
        <w:rPr>
          <w:noProof/>
          <w:lang w:val="en-US"/>
        </w:rPr>
        <w:t xml:space="preserve"> t</w:t>
      </w:r>
      <w:r w:rsidR="00FF691E">
        <w:rPr>
          <w:noProof/>
          <w:lang w:val="en-US"/>
        </w:rPr>
        <w:t>hat are on the opposition bench</w:t>
      </w:r>
      <w:r w:rsidR="009A43CF">
        <w:rPr>
          <w:noProof/>
          <w:lang w:val="en-US"/>
        </w:rPr>
        <w:t xml:space="preserve">. </w:t>
      </w:r>
    </w:p>
    <w:p w14:paraId="2AC9B651" w14:textId="20E6E000" w:rsidR="009A43CF" w:rsidRDefault="00D14F20" w:rsidP="00FF691E">
      <w:pPr>
        <w:jc w:val="both"/>
        <w:rPr>
          <w:noProof/>
          <w:lang w:val="en-US"/>
        </w:rPr>
      </w:pPr>
      <w:r>
        <w:rPr>
          <w:noProof/>
          <w:lang w:val="en-US"/>
        </w:rPr>
        <w:t xml:space="preserve">Our </w:t>
      </w:r>
      <w:r w:rsidR="009A43CF" w:rsidRPr="003D0C45">
        <w:rPr>
          <w:noProof/>
          <w:lang w:val="en-US"/>
        </w:rPr>
        <w:t xml:space="preserve">data </w:t>
      </w:r>
      <w:r>
        <w:rPr>
          <w:noProof/>
          <w:lang w:val="en-US"/>
        </w:rPr>
        <w:t xml:space="preserve">also </w:t>
      </w:r>
      <w:r w:rsidR="009A43CF" w:rsidRPr="003D0C45">
        <w:rPr>
          <w:noProof/>
          <w:lang w:val="en-US"/>
        </w:rPr>
        <w:t>suggest</w:t>
      </w:r>
      <w:r>
        <w:rPr>
          <w:noProof/>
          <w:lang w:val="en-US"/>
        </w:rPr>
        <w:t>s</w:t>
      </w:r>
      <w:r w:rsidR="009A43CF" w:rsidRPr="003D0C45">
        <w:rPr>
          <w:noProof/>
          <w:lang w:val="en-US"/>
        </w:rPr>
        <w:t xml:space="preserve"> </w:t>
      </w:r>
      <w:r w:rsidR="00CF6F00">
        <w:rPr>
          <w:noProof/>
          <w:lang w:val="en-US"/>
        </w:rPr>
        <w:t xml:space="preserve">partial </w:t>
      </w:r>
      <w:r w:rsidR="003D1924">
        <w:rPr>
          <w:noProof/>
          <w:lang w:val="en-US"/>
        </w:rPr>
        <w:t>evidence</w:t>
      </w:r>
      <w:r w:rsidR="009A43CF" w:rsidRPr="003D0C45">
        <w:rPr>
          <w:noProof/>
          <w:lang w:val="en-US"/>
        </w:rPr>
        <w:t xml:space="preserve"> of the positive relation between </w:t>
      </w:r>
      <w:r w:rsidR="009A43CF" w:rsidRPr="0034098B">
        <w:rPr>
          <w:noProof/>
          <w:lang w:val="en-US"/>
        </w:rPr>
        <w:t>municipal size</w:t>
      </w:r>
      <w:r w:rsidR="009A43CF" w:rsidRPr="003D0C45">
        <w:rPr>
          <w:noProof/>
          <w:lang w:val="en-US"/>
        </w:rPr>
        <w:t xml:space="preserve"> and ideological </w:t>
      </w:r>
      <w:r w:rsidR="003D1924">
        <w:rPr>
          <w:noProof/>
          <w:lang w:val="en-US"/>
        </w:rPr>
        <w:t>nationaliz</w:t>
      </w:r>
      <w:r w:rsidR="009A43CF">
        <w:rPr>
          <w:noProof/>
          <w:lang w:val="en-US"/>
        </w:rPr>
        <w:t>ation</w:t>
      </w:r>
      <w:r w:rsidR="009A43CF" w:rsidRPr="003D0C45">
        <w:rPr>
          <w:noProof/>
          <w:lang w:val="en-US"/>
        </w:rPr>
        <w:t xml:space="preserve">, meaning that </w:t>
      </w:r>
      <w:r w:rsidR="009A43CF">
        <w:rPr>
          <w:noProof/>
          <w:lang w:val="en-US"/>
        </w:rPr>
        <w:t xml:space="preserve">the manifestos of parties in </w:t>
      </w:r>
      <w:r w:rsidR="009A43CF" w:rsidRPr="003D0C45">
        <w:rPr>
          <w:noProof/>
          <w:lang w:val="en-US"/>
        </w:rPr>
        <w:t>large cities</w:t>
      </w:r>
      <w:r w:rsidR="009A43CF">
        <w:rPr>
          <w:noProof/>
          <w:lang w:val="en-US"/>
        </w:rPr>
        <w:t xml:space="preserve"> indeed</w:t>
      </w:r>
      <w:r w:rsidR="009A43CF" w:rsidRPr="003D0C45">
        <w:rPr>
          <w:noProof/>
          <w:lang w:val="en-US"/>
        </w:rPr>
        <w:t xml:space="preserve"> tend to </w:t>
      </w:r>
      <w:r w:rsidR="009A43CF">
        <w:rPr>
          <w:noProof/>
          <w:lang w:val="en-US"/>
        </w:rPr>
        <w:t>be more congruent with the national model programs.</w:t>
      </w:r>
      <w:r w:rsidR="009A43CF" w:rsidRPr="003D0C45">
        <w:rPr>
          <w:noProof/>
          <w:lang w:val="en-US"/>
        </w:rPr>
        <w:t xml:space="preserve"> </w:t>
      </w:r>
      <w:r w:rsidR="003D1924">
        <w:rPr>
          <w:noProof/>
          <w:lang w:val="en-US"/>
        </w:rPr>
        <w:t>The</w:t>
      </w:r>
      <w:r w:rsidR="009A43CF" w:rsidRPr="003D0C45">
        <w:rPr>
          <w:noProof/>
          <w:lang w:val="en-US"/>
        </w:rPr>
        <w:t xml:space="preserve"> correlation (Pearson Rho .203)</w:t>
      </w:r>
      <w:r w:rsidR="00CF6F00">
        <w:rPr>
          <w:noProof/>
          <w:lang w:val="en-US"/>
        </w:rPr>
        <w:t>, however,</w:t>
      </w:r>
      <w:r w:rsidR="009A43CF" w:rsidRPr="003D0C45">
        <w:rPr>
          <w:noProof/>
          <w:lang w:val="en-US"/>
        </w:rPr>
        <w:t xml:space="preserve"> </w:t>
      </w:r>
      <w:r w:rsidR="003D1924">
        <w:rPr>
          <w:noProof/>
          <w:lang w:val="en-US"/>
        </w:rPr>
        <w:t>barely exceeds</w:t>
      </w:r>
      <w:r w:rsidR="009A43CF" w:rsidRPr="003D0C45">
        <w:rPr>
          <w:noProof/>
          <w:lang w:val="en-US"/>
        </w:rPr>
        <w:t xml:space="preserve"> the .05 </w:t>
      </w:r>
      <w:r w:rsidR="003D1924">
        <w:rPr>
          <w:noProof/>
          <w:lang w:val="en-US"/>
        </w:rPr>
        <w:t xml:space="preserve">significance </w:t>
      </w:r>
      <w:r w:rsidR="009A43CF" w:rsidRPr="003D0C45">
        <w:rPr>
          <w:noProof/>
          <w:lang w:val="en-US"/>
        </w:rPr>
        <w:t xml:space="preserve">boundary (p = .057). We </w:t>
      </w:r>
      <w:r w:rsidR="00CF6F00">
        <w:rPr>
          <w:noProof/>
          <w:lang w:val="en-US"/>
        </w:rPr>
        <w:t>assume</w:t>
      </w:r>
      <w:r w:rsidR="00CF6F00" w:rsidRPr="003D0C45">
        <w:rPr>
          <w:noProof/>
          <w:lang w:val="en-US"/>
        </w:rPr>
        <w:t xml:space="preserve"> </w:t>
      </w:r>
      <w:r w:rsidR="009A43CF" w:rsidRPr="003D0C45">
        <w:rPr>
          <w:noProof/>
          <w:lang w:val="en-US"/>
        </w:rPr>
        <w:t xml:space="preserve">that the small sample size is </w:t>
      </w:r>
      <w:r w:rsidR="003D1924">
        <w:rPr>
          <w:noProof/>
          <w:lang w:val="en-US"/>
        </w:rPr>
        <w:t xml:space="preserve">mainly </w:t>
      </w:r>
      <w:r w:rsidR="009A43CF" w:rsidRPr="003D0C45">
        <w:rPr>
          <w:noProof/>
          <w:lang w:val="en-US"/>
        </w:rPr>
        <w:t>responsible for this low significance</w:t>
      </w:r>
      <w:r w:rsidR="003D1924">
        <w:rPr>
          <w:noProof/>
          <w:lang w:val="en-US"/>
        </w:rPr>
        <w:t xml:space="preserve"> level</w:t>
      </w:r>
      <w:r w:rsidR="009A43CF" w:rsidRPr="003D0C45">
        <w:rPr>
          <w:noProof/>
          <w:lang w:val="en-US"/>
        </w:rPr>
        <w:t>. However, this does not mean we can discard the moderate correlation. One could interpret t</w:t>
      </w:r>
      <w:r>
        <w:rPr>
          <w:noProof/>
          <w:lang w:val="en-US"/>
        </w:rPr>
        <w:t xml:space="preserve">his municipal autonomy </w:t>
      </w:r>
      <w:r w:rsidR="009A43CF" w:rsidRPr="003D0C45">
        <w:rPr>
          <w:noProof/>
          <w:lang w:val="en-US"/>
        </w:rPr>
        <w:t xml:space="preserve">as national indifference for the performance of rural communities as the </w:t>
      </w:r>
      <w:r w:rsidR="003D1924">
        <w:rPr>
          <w:noProof/>
          <w:lang w:val="en-US"/>
        </w:rPr>
        <w:t>most important battle</w:t>
      </w:r>
      <w:r w:rsidR="009A43CF" w:rsidRPr="003D0C45">
        <w:rPr>
          <w:noProof/>
          <w:lang w:val="en-US"/>
        </w:rPr>
        <w:t xml:space="preserve"> is fought in important cities. Moreover, </w:t>
      </w:r>
      <w:r w:rsidR="009A43CF" w:rsidRPr="0034098B">
        <w:rPr>
          <w:noProof/>
          <w:lang w:val="en-US"/>
        </w:rPr>
        <w:t>national leaders</w:t>
      </w:r>
      <w:r w:rsidR="00CF6F00" w:rsidRPr="0034098B">
        <w:rPr>
          <w:noProof/>
          <w:lang w:val="en-US"/>
        </w:rPr>
        <w:t xml:space="preserve"> or </w:t>
      </w:r>
      <w:r w:rsidR="004C4FF7" w:rsidRPr="0034098B">
        <w:rPr>
          <w:noProof/>
          <w:lang w:val="en-US"/>
        </w:rPr>
        <w:t>top p</w:t>
      </w:r>
      <w:r w:rsidR="00CF6F00" w:rsidRPr="0034098B">
        <w:rPr>
          <w:noProof/>
          <w:lang w:val="en-US"/>
        </w:rPr>
        <w:t xml:space="preserve">arty </w:t>
      </w:r>
      <w:r w:rsidR="004C4FF7" w:rsidRPr="0034098B">
        <w:rPr>
          <w:noProof/>
          <w:lang w:val="en-US"/>
        </w:rPr>
        <w:t>officials</w:t>
      </w:r>
      <w:r w:rsidR="009A43CF" w:rsidRPr="003D0C45">
        <w:rPr>
          <w:noProof/>
          <w:lang w:val="en-US"/>
        </w:rPr>
        <w:t xml:space="preserve"> are disproportionally located in cities and could very well translate the partyline into their local department. Nevertheless, these results seem to indicate a positive relation between municipal size and the degree of </w:t>
      </w:r>
      <w:r w:rsidR="00C31F66">
        <w:rPr>
          <w:noProof/>
          <w:lang w:val="en-US"/>
        </w:rPr>
        <w:t>nationaliz</w:t>
      </w:r>
      <w:r w:rsidR="009A43CF">
        <w:rPr>
          <w:noProof/>
          <w:lang w:val="en-US"/>
        </w:rPr>
        <w:t>ation</w:t>
      </w:r>
      <w:r w:rsidR="009A43CF" w:rsidRPr="003D0C45">
        <w:rPr>
          <w:noProof/>
          <w:lang w:val="en-US"/>
        </w:rPr>
        <w:t xml:space="preserve"> and thereby confirming our hypothesis. </w:t>
      </w:r>
    </w:p>
    <w:p w14:paraId="1764052A" w14:textId="1F31BAB8" w:rsidR="009A43CF" w:rsidRPr="003D1924" w:rsidRDefault="004C4FF7" w:rsidP="00FF691E">
      <w:pPr>
        <w:jc w:val="both"/>
        <w:rPr>
          <w:i/>
          <w:noProof/>
          <w:lang w:val="en-US"/>
        </w:rPr>
      </w:pPr>
      <w:r>
        <w:rPr>
          <w:i/>
          <w:noProof/>
          <w:lang w:val="en-US"/>
        </w:rPr>
        <w:t>The m</w:t>
      </w:r>
      <w:r w:rsidR="003D1924" w:rsidRPr="003D1924">
        <w:rPr>
          <w:i/>
          <w:noProof/>
          <w:lang w:val="en-US"/>
        </w:rPr>
        <w:t xml:space="preserve">ultivariate </w:t>
      </w:r>
      <w:r w:rsidR="006651DE">
        <w:rPr>
          <w:i/>
          <w:noProof/>
          <w:lang w:val="en-US"/>
        </w:rPr>
        <w:t>analysis</w:t>
      </w:r>
    </w:p>
    <w:p w14:paraId="30D0EF7A" w14:textId="77777777" w:rsidR="00384DDA" w:rsidRDefault="006651DE" w:rsidP="00384DDA">
      <w:pPr>
        <w:jc w:val="both"/>
        <w:rPr>
          <w:noProof/>
          <w:lang w:val="en-US"/>
        </w:rPr>
      </w:pPr>
      <w:r>
        <w:rPr>
          <w:noProof/>
          <w:lang w:val="en-US"/>
        </w:rPr>
        <w:t xml:space="preserve">Before </w:t>
      </w:r>
      <w:r w:rsidR="009A43CF">
        <w:rPr>
          <w:noProof/>
          <w:lang w:val="en-US"/>
        </w:rPr>
        <w:t>introducing all previous indicators into a mu</w:t>
      </w:r>
      <w:r>
        <w:rPr>
          <w:noProof/>
          <w:lang w:val="en-US"/>
        </w:rPr>
        <w:t>ltivariate regression analysis, we first take a look at T</w:t>
      </w:r>
      <w:r w:rsidR="0088380E">
        <w:rPr>
          <w:noProof/>
          <w:lang w:val="en-US"/>
        </w:rPr>
        <w:t>able</w:t>
      </w:r>
      <w:r w:rsidR="009A43CF" w:rsidRPr="003F3EB3">
        <w:rPr>
          <w:noProof/>
          <w:lang w:val="en-US"/>
        </w:rPr>
        <w:t xml:space="preserve"> 2 </w:t>
      </w:r>
      <w:r w:rsidR="004C4FF7">
        <w:rPr>
          <w:noProof/>
          <w:lang w:val="en-US"/>
        </w:rPr>
        <w:t>(see appendix)</w:t>
      </w:r>
      <w:r>
        <w:rPr>
          <w:noProof/>
          <w:lang w:val="en-US"/>
        </w:rPr>
        <w:t xml:space="preserve"> which</w:t>
      </w:r>
      <w:r w:rsidR="004C4FF7">
        <w:rPr>
          <w:noProof/>
          <w:lang w:val="en-US"/>
        </w:rPr>
        <w:t xml:space="preserve"> </w:t>
      </w:r>
      <w:r w:rsidR="009A43CF" w:rsidRPr="003F3EB3">
        <w:rPr>
          <w:noProof/>
          <w:lang w:val="en-US"/>
        </w:rPr>
        <w:t xml:space="preserve">contains a correlation matrix of our dependent variable, the amount of ideological resemblance, and the six independent variables. All relations with our Relative Nationalization Score seems to be </w:t>
      </w:r>
      <w:r w:rsidR="004C4FF7">
        <w:rPr>
          <w:noProof/>
          <w:lang w:val="en-US"/>
        </w:rPr>
        <w:t xml:space="preserve">rather </w:t>
      </w:r>
      <w:r w:rsidR="009A43CF" w:rsidRPr="00FF691E">
        <w:rPr>
          <w:noProof/>
          <w:lang w:val="en-US"/>
        </w:rPr>
        <w:t>disappointing</w:t>
      </w:r>
      <w:r w:rsidR="009A43CF" w:rsidRPr="003F3EB3">
        <w:rPr>
          <w:noProof/>
          <w:lang w:val="en-US"/>
        </w:rPr>
        <w:t xml:space="preserve">. </w:t>
      </w:r>
      <w:r w:rsidR="009A43CF">
        <w:rPr>
          <w:noProof/>
          <w:lang w:val="en-US"/>
        </w:rPr>
        <w:t xml:space="preserve">Only the ideological position of a party has an influence on the level of congruence. </w:t>
      </w:r>
      <w:r w:rsidR="009769B0" w:rsidRPr="00FF691E">
        <w:rPr>
          <w:noProof/>
          <w:lang w:val="en-US"/>
        </w:rPr>
        <w:t>Right</w:t>
      </w:r>
      <w:r w:rsidR="009A43CF" w:rsidRPr="00FF691E">
        <w:rPr>
          <w:noProof/>
          <w:lang w:val="en-US"/>
        </w:rPr>
        <w:t xml:space="preserve"> parties</w:t>
      </w:r>
      <w:r w:rsidR="009A43CF">
        <w:rPr>
          <w:noProof/>
          <w:lang w:val="en-US"/>
        </w:rPr>
        <w:t xml:space="preserve"> have significantly </w:t>
      </w:r>
      <w:r w:rsidR="009769B0" w:rsidRPr="00FF691E">
        <w:rPr>
          <w:noProof/>
          <w:lang w:val="en-US"/>
        </w:rPr>
        <w:t>lower</w:t>
      </w:r>
      <w:r w:rsidR="009A43CF" w:rsidRPr="00FF691E">
        <w:rPr>
          <w:noProof/>
          <w:lang w:val="en-US"/>
        </w:rPr>
        <w:t xml:space="preserve"> nationalization</w:t>
      </w:r>
      <w:r w:rsidR="009A43CF">
        <w:rPr>
          <w:noProof/>
          <w:lang w:val="en-US"/>
        </w:rPr>
        <w:t xml:space="preserve"> scores</w:t>
      </w:r>
      <w:r w:rsidR="004C4FF7">
        <w:rPr>
          <w:noProof/>
          <w:lang w:val="en-US"/>
        </w:rPr>
        <w:t xml:space="preserve"> (rejecting H2a)</w:t>
      </w:r>
      <w:r w:rsidR="009A43CF">
        <w:rPr>
          <w:noProof/>
          <w:lang w:val="en-US"/>
        </w:rPr>
        <w:t xml:space="preserve">. </w:t>
      </w:r>
      <w:r w:rsidR="00F1790E">
        <w:rPr>
          <w:noProof/>
          <w:lang w:val="en-US"/>
        </w:rPr>
        <w:t xml:space="preserve">The social democratic mass party on the other hand </w:t>
      </w:r>
      <w:r w:rsidR="009A43CF">
        <w:rPr>
          <w:noProof/>
          <w:lang w:val="en-US"/>
        </w:rPr>
        <w:t>behave</w:t>
      </w:r>
      <w:r w:rsidR="00F1790E">
        <w:rPr>
          <w:noProof/>
          <w:lang w:val="en-US"/>
        </w:rPr>
        <w:t>s the way we expect it to</w:t>
      </w:r>
      <w:r w:rsidR="004C4FF7">
        <w:rPr>
          <w:noProof/>
          <w:lang w:val="en-US"/>
        </w:rPr>
        <w:t xml:space="preserve"> (confirming H2b)</w:t>
      </w:r>
      <w:r w:rsidR="00F1790E">
        <w:rPr>
          <w:noProof/>
          <w:lang w:val="en-US"/>
        </w:rPr>
        <w:t>.</w:t>
      </w:r>
      <w:r w:rsidR="009A43CF">
        <w:rPr>
          <w:noProof/>
          <w:lang w:val="en-US"/>
        </w:rPr>
        <w:t xml:space="preserve"> </w:t>
      </w:r>
      <w:r w:rsidR="009769B0" w:rsidRPr="009769B0">
        <w:rPr>
          <w:noProof/>
          <w:lang w:val="en-US"/>
        </w:rPr>
        <w:t>Traditional</w:t>
      </w:r>
      <w:r w:rsidR="009A43CF" w:rsidRPr="009769B0">
        <w:rPr>
          <w:noProof/>
          <w:lang w:val="en-US"/>
        </w:rPr>
        <w:t xml:space="preserve"> parties leave </w:t>
      </w:r>
      <w:r w:rsidR="009769B0" w:rsidRPr="009769B0">
        <w:rPr>
          <w:noProof/>
          <w:lang w:val="en-US"/>
        </w:rPr>
        <w:t xml:space="preserve">limited </w:t>
      </w:r>
      <w:r w:rsidR="009A43CF" w:rsidRPr="009769B0">
        <w:rPr>
          <w:noProof/>
          <w:lang w:val="en-US"/>
        </w:rPr>
        <w:t xml:space="preserve">breathing room for their </w:t>
      </w:r>
      <w:r w:rsidR="009769B0" w:rsidRPr="009769B0">
        <w:rPr>
          <w:noProof/>
          <w:lang w:val="en-US"/>
        </w:rPr>
        <w:t xml:space="preserve">local departments as it is shows a positive </w:t>
      </w:r>
      <w:r w:rsidR="009A43CF" w:rsidRPr="009769B0">
        <w:rPr>
          <w:noProof/>
          <w:lang w:val="en-US"/>
        </w:rPr>
        <w:t>correlation</w:t>
      </w:r>
      <w:r w:rsidR="004C4FF7">
        <w:rPr>
          <w:noProof/>
          <w:lang w:val="en-US"/>
        </w:rPr>
        <w:t xml:space="preserve"> (confirming H2c)</w:t>
      </w:r>
      <w:r w:rsidR="009A43CF">
        <w:rPr>
          <w:noProof/>
          <w:lang w:val="en-US"/>
        </w:rPr>
        <w:t>. Readers should</w:t>
      </w:r>
      <w:r w:rsidR="004C4FF7">
        <w:rPr>
          <w:noProof/>
          <w:lang w:val="en-US"/>
        </w:rPr>
        <w:t xml:space="preserve"> however</w:t>
      </w:r>
      <w:r w:rsidR="009A43CF">
        <w:rPr>
          <w:noProof/>
          <w:lang w:val="en-US"/>
        </w:rPr>
        <w:t xml:space="preserve"> be warry to generalize these effects as significance levels </w:t>
      </w:r>
      <w:r w:rsidR="00384DDA">
        <w:rPr>
          <w:noProof/>
          <w:lang w:val="en-US"/>
        </w:rPr>
        <w:t>surpas</w:t>
      </w:r>
      <w:r w:rsidR="009A43CF">
        <w:rPr>
          <w:noProof/>
          <w:lang w:val="en-US"/>
        </w:rPr>
        <w:t xml:space="preserve"> the conservative thresholds. </w:t>
      </w:r>
    </w:p>
    <w:p w14:paraId="62141A73" w14:textId="33230338" w:rsidR="00384DDA" w:rsidRDefault="009A43CF" w:rsidP="00384DDA">
      <w:pPr>
        <w:jc w:val="both"/>
        <w:rPr>
          <w:noProof/>
          <w:lang w:val="en-US"/>
        </w:rPr>
      </w:pPr>
      <w:r>
        <w:rPr>
          <w:noProof/>
          <w:lang w:val="en-US"/>
        </w:rPr>
        <w:lastRenderedPageBreak/>
        <w:t xml:space="preserve">Table </w:t>
      </w:r>
      <w:r w:rsidR="00384DDA">
        <w:rPr>
          <w:noProof/>
          <w:lang w:val="en-US"/>
        </w:rPr>
        <w:t>3</w:t>
      </w:r>
      <w:r>
        <w:rPr>
          <w:noProof/>
          <w:lang w:val="en-US"/>
        </w:rPr>
        <w:t xml:space="preserve"> reveals our three hierarchical </w:t>
      </w:r>
      <w:r w:rsidR="004C4FF7">
        <w:rPr>
          <w:noProof/>
          <w:lang w:val="en-US"/>
        </w:rPr>
        <w:t xml:space="preserve">regression </w:t>
      </w:r>
      <w:r>
        <w:rPr>
          <w:noProof/>
          <w:lang w:val="en-US"/>
        </w:rPr>
        <w:t xml:space="preserve">models. The first model tries to envelop the influence of </w:t>
      </w:r>
      <w:r w:rsidR="004C4FF7">
        <w:rPr>
          <w:noProof/>
          <w:lang w:val="en-US"/>
        </w:rPr>
        <w:t>party characteristics</w:t>
      </w:r>
      <w:r>
        <w:rPr>
          <w:noProof/>
          <w:lang w:val="en-US"/>
        </w:rPr>
        <w:t xml:space="preserve">. Contradictory to our theoretical presumptions, our threefold of categorization doesn’t have any predictive power. </w:t>
      </w:r>
      <w:r w:rsidR="009769B0">
        <w:rPr>
          <w:noProof/>
          <w:lang w:val="en-US"/>
        </w:rPr>
        <w:t xml:space="preserve">The bivariate results are </w:t>
      </w:r>
      <w:r w:rsidR="004C4FF7">
        <w:rPr>
          <w:noProof/>
          <w:lang w:val="en-US"/>
        </w:rPr>
        <w:t xml:space="preserve">simply </w:t>
      </w:r>
      <w:r w:rsidR="009769B0">
        <w:rPr>
          <w:noProof/>
          <w:lang w:val="en-US"/>
        </w:rPr>
        <w:t xml:space="preserve">confirmed. </w:t>
      </w:r>
      <w:r>
        <w:rPr>
          <w:noProof/>
          <w:lang w:val="en-US"/>
        </w:rPr>
        <w:t xml:space="preserve">The coefficients show no significant effects when only accounting for parties. It is not surprising then, that the R² is negligible and the model itself is not significant as well. </w:t>
      </w:r>
    </w:p>
    <w:p w14:paraId="430371E4" w14:textId="688570A2" w:rsidR="004C4FF7" w:rsidRDefault="009A43CF" w:rsidP="00384DDA">
      <w:pPr>
        <w:jc w:val="both"/>
        <w:rPr>
          <w:noProof/>
          <w:lang w:val="en-US"/>
        </w:rPr>
      </w:pPr>
      <w:r>
        <w:rPr>
          <w:noProof/>
          <w:lang w:val="en-US"/>
        </w:rPr>
        <w:t xml:space="preserve">Moving on to the second </w:t>
      </w:r>
      <w:r w:rsidR="004C4FF7">
        <w:rPr>
          <w:noProof/>
          <w:lang w:val="en-US"/>
        </w:rPr>
        <w:t>model</w:t>
      </w:r>
      <w:r>
        <w:rPr>
          <w:noProof/>
          <w:lang w:val="en-US"/>
        </w:rPr>
        <w:t xml:space="preserve"> results </w:t>
      </w:r>
      <w:r w:rsidR="004C4FF7">
        <w:rPr>
          <w:noProof/>
          <w:lang w:val="en-US"/>
        </w:rPr>
        <w:t>are different</w:t>
      </w:r>
      <w:r>
        <w:rPr>
          <w:noProof/>
          <w:lang w:val="en-US"/>
        </w:rPr>
        <w:t xml:space="preserve">. Controlling for </w:t>
      </w:r>
      <w:r w:rsidR="00384DDA">
        <w:rPr>
          <w:noProof/>
          <w:lang w:val="en-US"/>
        </w:rPr>
        <w:t>party type</w:t>
      </w:r>
      <w:r>
        <w:rPr>
          <w:noProof/>
          <w:lang w:val="en-US"/>
        </w:rPr>
        <w:t xml:space="preserve">, residing in the local majority increases the Relative Nationalization Score with 0.044. This leads us to reject our hypothesis </w:t>
      </w:r>
      <w:r w:rsidR="004C4FF7">
        <w:rPr>
          <w:noProof/>
          <w:lang w:val="en-US"/>
        </w:rPr>
        <w:t xml:space="preserve">H3 </w:t>
      </w:r>
      <w:r>
        <w:rPr>
          <w:noProof/>
          <w:lang w:val="en-US"/>
        </w:rPr>
        <w:t>as the relationship is positive. Professionalism could in this regard lead to the intertwining of political elites and therefore more disciple. The introduction of th</w:t>
      </w:r>
      <w:r w:rsidR="00FF691E">
        <w:rPr>
          <w:noProof/>
          <w:lang w:val="en-US"/>
        </w:rPr>
        <w:t>is</w:t>
      </w:r>
      <w:r>
        <w:rPr>
          <w:noProof/>
          <w:lang w:val="en-US"/>
        </w:rPr>
        <w:t xml:space="preserve"> first context </w:t>
      </w:r>
      <w:r w:rsidR="004C4FF7">
        <w:rPr>
          <w:noProof/>
          <w:lang w:val="en-US"/>
        </w:rPr>
        <w:t>variable</w:t>
      </w:r>
      <w:r>
        <w:rPr>
          <w:noProof/>
          <w:lang w:val="en-US"/>
        </w:rPr>
        <w:t xml:space="preserve"> has a two folded effect, because coefficients for the </w:t>
      </w:r>
      <w:r w:rsidR="00BF43A0">
        <w:rPr>
          <w:noProof/>
          <w:lang w:val="en-US"/>
        </w:rPr>
        <w:t>right wing</w:t>
      </w:r>
      <w:r>
        <w:rPr>
          <w:noProof/>
          <w:lang w:val="en-US"/>
        </w:rPr>
        <w:t xml:space="preserve"> parties </w:t>
      </w:r>
      <w:r w:rsidR="005F47E1">
        <w:rPr>
          <w:noProof/>
          <w:lang w:val="en-US"/>
        </w:rPr>
        <w:t xml:space="preserve">also </w:t>
      </w:r>
      <w:r>
        <w:rPr>
          <w:noProof/>
          <w:lang w:val="en-US"/>
        </w:rPr>
        <w:t xml:space="preserve">rise. We now recognize a similar effect as found in the correlation matrix. The ideological </w:t>
      </w:r>
      <w:r w:rsidR="00BF43A0">
        <w:rPr>
          <w:noProof/>
          <w:lang w:val="en-US"/>
        </w:rPr>
        <w:t>position of a party on the left-</w:t>
      </w:r>
      <w:r>
        <w:rPr>
          <w:noProof/>
          <w:lang w:val="en-US"/>
        </w:rPr>
        <w:t xml:space="preserve">right scale has an effect, albeit small, on </w:t>
      </w:r>
      <w:r w:rsidR="00BF43A0">
        <w:rPr>
          <w:noProof/>
          <w:lang w:val="en-US"/>
        </w:rPr>
        <w:t xml:space="preserve">the </w:t>
      </w:r>
      <w:r>
        <w:rPr>
          <w:noProof/>
          <w:lang w:val="en-US"/>
        </w:rPr>
        <w:t>nationalization</w:t>
      </w:r>
      <w:r w:rsidR="00BF43A0">
        <w:rPr>
          <w:noProof/>
          <w:lang w:val="en-US"/>
        </w:rPr>
        <w:t xml:space="preserve"> degree</w:t>
      </w:r>
      <w:r>
        <w:rPr>
          <w:noProof/>
          <w:lang w:val="en-US"/>
        </w:rPr>
        <w:t xml:space="preserve">. Caution is always needed when interpreting the coefficients, since we deal with a small sample size and the levels of significant are set accordingly. </w:t>
      </w:r>
    </w:p>
    <w:p w14:paraId="47347F1A" w14:textId="5AC3F526" w:rsidR="009A43CF" w:rsidRDefault="00731B65" w:rsidP="00FF691E">
      <w:pPr>
        <w:autoSpaceDE w:val="0"/>
        <w:autoSpaceDN w:val="0"/>
        <w:adjustRightInd w:val="0"/>
        <w:spacing w:after="0"/>
        <w:jc w:val="both"/>
        <w:rPr>
          <w:lang w:val="en-US"/>
        </w:rPr>
      </w:pPr>
      <w:r>
        <w:rPr>
          <w:noProof/>
          <w:lang w:val="en-US"/>
        </w:rPr>
        <w:t xml:space="preserve">Adding </w:t>
      </w:r>
      <w:r w:rsidR="009A43CF">
        <w:rPr>
          <w:noProof/>
          <w:lang w:val="en-US"/>
        </w:rPr>
        <w:t xml:space="preserve">municipal size in the third model increases the viability of our predictive efforts. Local departments based in larger cities show increasing similarities with the national level. We can therefore conclude that our </w:t>
      </w:r>
      <w:r w:rsidR="00FF691E">
        <w:rPr>
          <w:noProof/>
          <w:lang w:val="en-US"/>
        </w:rPr>
        <w:t xml:space="preserve">fourth </w:t>
      </w:r>
      <w:r w:rsidR="009A43CF">
        <w:rPr>
          <w:noProof/>
          <w:lang w:val="en-US"/>
        </w:rPr>
        <w:t>hypothesis</w:t>
      </w:r>
      <w:r w:rsidR="00FF691E">
        <w:rPr>
          <w:noProof/>
          <w:lang w:val="en-US"/>
        </w:rPr>
        <w:t xml:space="preserve"> </w:t>
      </w:r>
      <w:r w:rsidR="009A43CF">
        <w:rPr>
          <w:noProof/>
          <w:lang w:val="en-US"/>
        </w:rPr>
        <w:t xml:space="preserve">of municipal size is accepted and that those results are in line with data from party system nationalization. </w:t>
      </w:r>
      <w:r w:rsidR="00C41949">
        <w:rPr>
          <w:noProof/>
          <w:lang w:val="en-US"/>
        </w:rPr>
        <w:t>T</w:t>
      </w:r>
      <w:r w:rsidR="009A43CF">
        <w:rPr>
          <w:noProof/>
          <w:lang w:val="en-US"/>
        </w:rPr>
        <w:t xml:space="preserve">he third model is the only one that significantly succeeds in explaining some variation in ideological nationalization. However, only 14% of the variation can be attributed to our theoretical explications. </w:t>
      </w:r>
      <w:r w:rsidR="00C41949">
        <w:rPr>
          <w:noProof/>
          <w:lang w:val="en-US"/>
        </w:rPr>
        <w:t>T</w:t>
      </w:r>
      <w:r w:rsidR="00BF43A0">
        <w:rPr>
          <w:noProof/>
          <w:lang w:val="en-US"/>
        </w:rPr>
        <w:t xml:space="preserve">he </w:t>
      </w:r>
      <w:r w:rsidR="00EF6A97">
        <w:rPr>
          <w:noProof/>
          <w:lang w:val="en-US"/>
        </w:rPr>
        <w:t>three subhypothese</w:t>
      </w:r>
      <w:r w:rsidR="00BF43A0">
        <w:rPr>
          <w:noProof/>
          <w:lang w:val="en-US"/>
        </w:rPr>
        <w:t xml:space="preserve">s concerning </w:t>
      </w:r>
      <w:r w:rsidR="00BF43A0" w:rsidRPr="0034098B">
        <w:rPr>
          <w:noProof/>
          <w:lang w:val="en-US"/>
        </w:rPr>
        <w:t>the effect of party</w:t>
      </w:r>
      <w:r w:rsidR="00C41949" w:rsidRPr="0034098B">
        <w:rPr>
          <w:noProof/>
          <w:lang w:val="en-US"/>
        </w:rPr>
        <w:t xml:space="preserve"> types</w:t>
      </w:r>
      <w:r w:rsidR="00BF43A0" w:rsidRPr="0034098B">
        <w:rPr>
          <w:noProof/>
          <w:lang w:val="en-US"/>
        </w:rPr>
        <w:t xml:space="preserve"> shou</w:t>
      </w:r>
      <w:r w:rsidR="00BF43A0">
        <w:rPr>
          <w:noProof/>
          <w:lang w:val="en-US"/>
        </w:rPr>
        <w:t xml:space="preserve">ld </w:t>
      </w:r>
      <w:r w:rsidR="00BF43A0" w:rsidRPr="0034098B">
        <w:rPr>
          <w:noProof/>
          <w:lang w:val="en-US"/>
        </w:rPr>
        <w:t xml:space="preserve">all be rejected. </w:t>
      </w:r>
      <w:r w:rsidR="00B26B54" w:rsidRPr="0034098B">
        <w:rPr>
          <w:noProof/>
          <w:lang w:val="en-US"/>
        </w:rPr>
        <w:t>T</w:t>
      </w:r>
      <w:r w:rsidR="00BF43A0" w:rsidRPr="0034098B">
        <w:rPr>
          <w:noProof/>
          <w:lang w:val="en-US"/>
        </w:rPr>
        <w:t>he</w:t>
      </w:r>
      <w:r w:rsidR="00BF43A0">
        <w:rPr>
          <w:noProof/>
          <w:lang w:val="en-US"/>
        </w:rPr>
        <w:t xml:space="preserve"> ideological </w:t>
      </w:r>
      <w:r w:rsidR="00B26B54">
        <w:rPr>
          <w:noProof/>
          <w:lang w:val="en-US"/>
        </w:rPr>
        <w:t xml:space="preserve">position does contribute to the model, only the direction of the effect is reversed. Exactly the same could be said for taking part in the local coalition. Executive leaders within the </w:t>
      </w:r>
      <w:r w:rsidR="00E001D3">
        <w:rPr>
          <w:noProof/>
          <w:lang w:val="en-US"/>
        </w:rPr>
        <w:t xml:space="preserve">municipality </w:t>
      </w:r>
      <w:r w:rsidR="00B26B54">
        <w:rPr>
          <w:noProof/>
          <w:lang w:val="en-US"/>
        </w:rPr>
        <w:t xml:space="preserve">branch increases central-local congruence. </w:t>
      </w:r>
    </w:p>
    <w:p w14:paraId="43FCDD57" w14:textId="77777777" w:rsidR="009A43CF" w:rsidRDefault="009A43CF" w:rsidP="009A43CF">
      <w:pPr>
        <w:autoSpaceDE w:val="0"/>
        <w:autoSpaceDN w:val="0"/>
        <w:adjustRightInd w:val="0"/>
        <w:spacing w:after="0" w:line="240" w:lineRule="auto"/>
        <w:rPr>
          <w:lang w:val="en-US"/>
        </w:rPr>
      </w:pPr>
    </w:p>
    <w:p w14:paraId="49B5F280" w14:textId="2BAC3CB1" w:rsidR="00A90FBE" w:rsidRDefault="00A90FBE" w:rsidP="00A90FBE">
      <w:pPr>
        <w:jc w:val="both"/>
        <w:rPr>
          <w:noProof/>
          <w:lang w:val="en-US"/>
        </w:rPr>
      </w:pPr>
      <w:r w:rsidRPr="00A90FBE">
        <w:rPr>
          <w:b/>
          <w:noProof/>
          <w:lang w:val="en-US"/>
        </w:rPr>
        <w:t>[</w:t>
      </w:r>
      <w:r>
        <w:rPr>
          <w:b/>
          <w:noProof/>
          <w:lang w:val="en-US"/>
        </w:rPr>
        <w:t>Table 3</w:t>
      </w:r>
      <w:r w:rsidRPr="00A90FBE">
        <w:rPr>
          <w:b/>
          <w:noProof/>
          <w:lang w:val="en-US"/>
        </w:rPr>
        <w:t xml:space="preserve"> around here]</w:t>
      </w:r>
    </w:p>
    <w:p w14:paraId="714FAE73" w14:textId="77777777" w:rsidR="00DA66B2" w:rsidRPr="00DA66B2" w:rsidRDefault="00DA66B2" w:rsidP="004A71FD">
      <w:pPr>
        <w:autoSpaceDE w:val="0"/>
        <w:autoSpaceDN w:val="0"/>
        <w:adjustRightInd w:val="0"/>
        <w:jc w:val="both"/>
        <w:rPr>
          <w:b/>
          <w:noProof/>
          <w:lang w:val="en-US"/>
        </w:rPr>
      </w:pPr>
      <w:r w:rsidRPr="00DA66B2">
        <w:rPr>
          <w:b/>
          <w:noProof/>
          <w:lang w:val="en-US"/>
        </w:rPr>
        <w:t>Conclusions</w:t>
      </w:r>
    </w:p>
    <w:p w14:paraId="49711F47" w14:textId="014A1DAF" w:rsidR="00F86A3E" w:rsidRDefault="003421DA" w:rsidP="004A71FD">
      <w:pPr>
        <w:autoSpaceDE w:val="0"/>
        <w:autoSpaceDN w:val="0"/>
        <w:adjustRightInd w:val="0"/>
        <w:jc w:val="both"/>
        <w:rPr>
          <w:noProof/>
          <w:lang w:val="en-US"/>
        </w:rPr>
      </w:pPr>
      <w:r>
        <w:rPr>
          <w:lang w:val="en-GB"/>
        </w:rPr>
        <w:t xml:space="preserve">This </w:t>
      </w:r>
      <w:r w:rsidR="00DD5A20">
        <w:rPr>
          <w:lang w:val="en-GB"/>
        </w:rPr>
        <w:t xml:space="preserve">article has </w:t>
      </w:r>
      <w:r>
        <w:rPr>
          <w:lang w:val="en-GB"/>
        </w:rPr>
        <w:t xml:space="preserve">tried to assess the extent of </w:t>
      </w:r>
      <w:r w:rsidRPr="008D6601">
        <w:rPr>
          <w:lang w:val="en-GB"/>
        </w:rPr>
        <w:t xml:space="preserve">nationalization of local elections </w:t>
      </w:r>
      <w:r>
        <w:rPr>
          <w:lang w:val="en-GB"/>
        </w:rPr>
        <w:t xml:space="preserve">by measuring the ideological </w:t>
      </w:r>
      <w:r w:rsidR="00E26184">
        <w:rPr>
          <w:lang w:val="en-GB"/>
        </w:rPr>
        <w:t>congrue</w:t>
      </w:r>
      <w:r>
        <w:rPr>
          <w:lang w:val="en-GB"/>
        </w:rPr>
        <w:t xml:space="preserve">nce </w:t>
      </w:r>
      <w:r w:rsidR="00E001D3">
        <w:rPr>
          <w:lang w:val="en-GB"/>
        </w:rPr>
        <w:t>between the election manifesto</w:t>
      </w:r>
      <w:r>
        <w:rPr>
          <w:lang w:val="en-GB"/>
        </w:rPr>
        <w:t xml:space="preserve">s of local chapters </w:t>
      </w:r>
      <w:r w:rsidR="00E001D3">
        <w:rPr>
          <w:lang w:val="en-GB"/>
        </w:rPr>
        <w:t>and</w:t>
      </w:r>
      <w:r>
        <w:rPr>
          <w:lang w:val="en-GB"/>
        </w:rPr>
        <w:t xml:space="preserve"> the model programs </w:t>
      </w:r>
      <w:r w:rsidRPr="003421DA">
        <w:rPr>
          <w:lang w:val="en-GB"/>
        </w:rPr>
        <w:t>provided by the central hea</w:t>
      </w:r>
      <w:r w:rsidR="00127CD4">
        <w:rPr>
          <w:lang w:val="en-GB"/>
        </w:rPr>
        <w:t>dquarters</w:t>
      </w:r>
      <w:r w:rsidR="00252CA5">
        <w:rPr>
          <w:lang w:val="en-GB"/>
        </w:rPr>
        <w:t xml:space="preserve"> of national political parties</w:t>
      </w:r>
      <w:r w:rsidRPr="003421DA">
        <w:rPr>
          <w:lang w:val="en-GB"/>
        </w:rPr>
        <w:t>.</w:t>
      </w:r>
      <w:r w:rsidR="00AC5D57">
        <w:rPr>
          <w:lang w:val="en-GB"/>
        </w:rPr>
        <w:t xml:space="preserve"> We found that the </w:t>
      </w:r>
      <w:r w:rsidR="00C41949">
        <w:rPr>
          <w:lang w:val="en-GB"/>
        </w:rPr>
        <w:t xml:space="preserve">overall </w:t>
      </w:r>
      <w:r w:rsidR="00AC5D57">
        <w:rPr>
          <w:lang w:val="en-GB"/>
        </w:rPr>
        <w:t>degree of ideological nationali</w:t>
      </w:r>
      <w:r w:rsidR="00127CD4">
        <w:rPr>
          <w:lang w:val="en-GB"/>
        </w:rPr>
        <w:t>z</w:t>
      </w:r>
      <w:r w:rsidR="00AC5D57">
        <w:rPr>
          <w:lang w:val="en-GB"/>
        </w:rPr>
        <w:t xml:space="preserve">ation </w:t>
      </w:r>
      <w:r w:rsidR="00C41949">
        <w:rPr>
          <w:lang w:val="en-GB"/>
        </w:rPr>
        <w:t xml:space="preserve">at the local level </w:t>
      </w:r>
      <w:r w:rsidR="00252CA5">
        <w:rPr>
          <w:lang w:val="en-GB"/>
        </w:rPr>
        <w:t xml:space="preserve">(measured as the congruence in relative attention for </w:t>
      </w:r>
      <w:r w:rsidR="00DD5A20">
        <w:rPr>
          <w:lang w:val="en-GB"/>
        </w:rPr>
        <w:t>specific</w:t>
      </w:r>
      <w:r w:rsidR="00252CA5">
        <w:rPr>
          <w:lang w:val="en-GB"/>
        </w:rPr>
        <w:t xml:space="preserve"> categories) </w:t>
      </w:r>
      <w:r w:rsidR="00AC5D57">
        <w:rPr>
          <w:lang w:val="en-GB"/>
        </w:rPr>
        <w:t xml:space="preserve">is </w:t>
      </w:r>
      <w:r w:rsidR="00C41949">
        <w:rPr>
          <w:lang w:val="en-GB"/>
        </w:rPr>
        <w:t xml:space="preserve">relatively </w:t>
      </w:r>
      <w:r w:rsidR="00AC5D57">
        <w:rPr>
          <w:lang w:val="en-GB"/>
        </w:rPr>
        <w:t xml:space="preserve">high </w:t>
      </w:r>
      <w:r w:rsidR="00C41949">
        <w:rPr>
          <w:lang w:val="en-GB"/>
        </w:rPr>
        <w:t xml:space="preserve">for </w:t>
      </w:r>
      <w:r w:rsidR="00AC5D57">
        <w:rPr>
          <w:noProof/>
          <w:lang w:val="en-US"/>
        </w:rPr>
        <w:t>al</w:t>
      </w:r>
      <w:r w:rsidR="00D81421" w:rsidRPr="00D81421">
        <w:rPr>
          <w:noProof/>
          <w:lang w:val="en-US"/>
        </w:rPr>
        <w:t>l Flemish parties</w:t>
      </w:r>
      <w:r w:rsidR="00AC5D57">
        <w:rPr>
          <w:noProof/>
          <w:lang w:val="en-US"/>
        </w:rPr>
        <w:t>.</w:t>
      </w:r>
      <w:r w:rsidR="00DD5A20">
        <w:rPr>
          <w:noProof/>
          <w:lang w:val="en-US"/>
        </w:rPr>
        <w:t xml:space="preserve"> </w:t>
      </w:r>
      <w:r w:rsidR="00AC5D57" w:rsidRPr="003C7C40">
        <w:rPr>
          <w:noProof/>
          <w:lang w:val="en-US"/>
        </w:rPr>
        <w:t xml:space="preserve">This interesting result </w:t>
      </w:r>
      <w:r w:rsidR="003C7C40" w:rsidRPr="003C7C40">
        <w:rPr>
          <w:noProof/>
          <w:lang w:val="en-US"/>
        </w:rPr>
        <w:t>empirical</w:t>
      </w:r>
      <w:r w:rsidR="00E26184">
        <w:rPr>
          <w:noProof/>
          <w:lang w:val="en-US"/>
        </w:rPr>
        <w:t>ly enriches</w:t>
      </w:r>
      <w:r w:rsidR="003C7C40" w:rsidRPr="003C7C40">
        <w:rPr>
          <w:noProof/>
          <w:lang w:val="en-US"/>
        </w:rPr>
        <w:t xml:space="preserve"> </w:t>
      </w:r>
      <w:r w:rsidR="00AF088F">
        <w:rPr>
          <w:noProof/>
          <w:lang w:val="en-US"/>
        </w:rPr>
        <w:t xml:space="preserve">the </w:t>
      </w:r>
      <w:r w:rsidR="00D44747">
        <w:rPr>
          <w:noProof/>
          <w:lang w:val="en-US"/>
        </w:rPr>
        <w:t xml:space="preserve">pending </w:t>
      </w:r>
      <w:r w:rsidR="00AF088F">
        <w:rPr>
          <w:noProof/>
          <w:lang w:val="en-US"/>
        </w:rPr>
        <w:t>debate of nationali</w:t>
      </w:r>
      <w:r w:rsidR="00D44747">
        <w:rPr>
          <w:noProof/>
          <w:lang w:val="en-US"/>
        </w:rPr>
        <w:t>z</w:t>
      </w:r>
      <w:r w:rsidR="00AF088F">
        <w:rPr>
          <w:noProof/>
          <w:lang w:val="en-US"/>
        </w:rPr>
        <w:t>ation of local politics</w:t>
      </w:r>
      <w:r w:rsidR="00127CD4">
        <w:rPr>
          <w:noProof/>
          <w:lang w:val="en-US"/>
        </w:rPr>
        <w:t>,</w:t>
      </w:r>
      <w:r w:rsidR="00AF088F">
        <w:rPr>
          <w:noProof/>
          <w:lang w:val="en-US"/>
        </w:rPr>
        <w:t xml:space="preserve"> </w:t>
      </w:r>
      <w:r w:rsidR="00D44747">
        <w:rPr>
          <w:noProof/>
          <w:lang w:val="en-US"/>
        </w:rPr>
        <w:t>usually</w:t>
      </w:r>
      <w:r w:rsidR="00D44747" w:rsidRPr="00D44747">
        <w:rPr>
          <w:noProof/>
          <w:lang w:val="en-US"/>
        </w:rPr>
        <w:t xml:space="preserve"> </w:t>
      </w:r>
      <w:r w:rsidR="00DD5A20">
        <w:rPr>
          <w:noProof/>
          <w:lang w:val="en-US"/>
        </w:rPr>
        <w:t>confined</w:t>
      </w:r>
      <w:r w:rsidR="00DD5A20" w:rsidRPr="00D44747">
        <w:rPr>
          <w:noProof/>
          <w:lang w:val="en-US"/>
        </w:rPr>
        <w:t xml:space="preserve"> </w:t>
      </w:r>
      <w:r w:rsidR="00DD5A20">
        <w:rPr>
          <w:noProof/>
          <w:lang w:val="en-US"/>
        </w:rPr>
        <w:t xml:space="preserve">to </w:t>
      </w:r>
      <w:r w:rsidR="00D44747">
        <w:rPr>
          <w:noProof/>
          <w:lang w:val="en-US"/>
        </w:rPr>
        <w:t xml:space="preserve">party </w:t>
      </w:r>
      <w:r w:rsidR="00127CD4">
        <w:rPr>
          <w:noProof/>
          <w:lang w:val="en-US"/>
        </w:rPr>
        <w:t>supply and</w:t>
      </w:r>
      <w:r w:rsidR="00D44747" w:rsidRPr="00D44747">
        <w:rPr>
          <w:noProof/>
          <w:lang w:val="en-US"/>
        </w:rPr>
        <w:t xml:space="preserve"> </w:t>
      </w:r>
      <w:r w:rsidR="00D44747">
        <w:rPr>
          <w:noProof/>
          <w:lang w:val="en-US"/>
        </w:rPr>
        <w:t xml:space="preserve">electoral </w:t>
      </w:r>
      <w:r w:rsidR="00D44747" w:rsidRPr="00D44747">
        <w:rPr>
          <w:noProof/>
          <w:lang w:val="en-US"/>
        </w:rPr>
        <w:t>success</w:t>
      </w:r>
      <w:r w:rsidR="00D44747">
        <w:rPr>
          <w:noProof/>
          <w:lang w:val="en-US"/>
        </w:rPr>
        <w:t xml:space="preserve">. </w:t>
      </w:r>
    </w:p>
    <w:p w14:paraId="5281AC1F" w14:textId="09B6E4C8" w:rsidR="00F86A3E" w:rsidRDefault="00DD5A20" w:rsidP="004A71FD">
      <w:pPr>
        <w:autoSpaceDE w:val="0"/>
        <w:autoSpaceDN w:val="0"/>
        <w:adjustRightInd w:val="0"/>
        <w:jc w:val="both"/>
        <w:rPr>
          <w:noProof/>
          <w:lang w:val="en-US"/>
        </w:rPr>
      </w:pPr>
      <w:r>
        <w:rPr>
          <w:noProof/>
          <w:lang w:val="en-US"/>
        </w:rPr>
        <w:t xml:space="preserve">It </w:t>
      </w:r>
      <w:r w:rsidR="00385DBE">
        <w:rPr>
          <w:noProof/>
          <w:lang w:val="en-US"/>
        </w:rPr>
        <w:t>also</w:t>
      </w:r>
      <w:r w:rsidR="00127CD4">
        <w:rPr>
          <w:noProof/>
          <w:lang w:val="en-US"/>
        </w:rPr>
        <w:t xml:space="preserve"> </w:t>
      </w:r>
      <w:r w:rsidR="00F86A3E">
        <w:rPr>
          <w:noProof/>
          <w:lang w:val="en-US"/>
        </w:rPr>
        <w:t>adds to the underdevelopped research</w:t>
      </w:r>
      <w:r w:rsidR="00385DBE">
        <w:rPr>
          <w:noProof/>
          <w:lang w:val="en-US"/>
        </w:rPr>
        <w:t xml:space="preserve"> domain</w:t>
      </w:r>
      <w:r w:rsidR="00F86A3E">
        <w:rPr>
          <w:noProof/>
          <w:lang w:val="en-US"/>
        </w:rPr>
        <w:t xml:space="preserve"> o</w:t>
      </w:r>
      <w:r w:rsidR="00385DBE">
        <w:rPr>
          <w:noProof/>
          <w:lang w:val="en-US"/>
        </w:rPr>
        <w:t>f</w:t>
      </w:r>
      <w:r w:rsidR="00F86A3E">
        <w:rPr>
          <w:noProof/>
          <w:lang w:val="en-US"/>
        </w:rPr>
        <w:t xml:space="preserve"> political parties </w:t>
      </w:r>
      <w:r w:rsidR="00252CA5">
        <w:rPr>
          <w:noProof/>
          <w:lang w:val="en-US"/>
        </w:rPr>
        <w:t>at</w:t>
      </w:r>
      <w:r w:rsidR="00F86A3E">
        <w:rPr>
          <w:noProof/>
          <w:lang w:val="en-US"/>
        </w:rPr>
        <w:t xml:space="preserve"> the local level by empirically assessing the relation between the national headquarter and its local branches</w:t>
      </w:r>
      <w:r w:rsidR="00252CA5">
        <w:rPr>
          <w:noProof/>
          <w:lang w:val="en-US"/>
        </w:rPr>
        <w:t xml:space="preserve"> trough the perspective of ideological nationalization in election time</w:t>
      </w:r>
      <w:r w:rsidR="00F86A3E">
        <w:rPr>
          <w:noProof/>
          <w:lang w:val="en-US"/>
        </w:rPr>
        <w:t>. We found evidence</w:t>
      </w:r>
      <w:r w:rsidR="00D44747">
        <w:rPr>
          <w:noProof/>
          <w:lang w:val="en-US"/>
        </w:rPr>
        <w:t xml:space="preserve"> </w:t>
      </w:r>
      <w:r w:rsidR="00252CA5">
        <w:rPr>
          <w:noProof/>
          <w:lang w:val="en-US"/>
        </w:rPr>
        <w:t>in line with</w:t>
      </w:r>
      <w:r w:rsidR="00127CD4">
        <w:rPr>
          <w:noProof/>
          <w:lang w:val="en-US"/>
        </w:rPr>
        <w:t xml:space="preserve"> </w:t>
      </w:r>
      <w:r w:rsidR="003C7C40">
        <w:rPr>
          <w:noProof/>
          <w:lang w:val="en-US"/>
        </w:rPr>
        <w:t>the assumptions that C</w:t>
      </w:r>
      <w:r w:rsidR="003C7C40" w:rsidRPr="003C7C40">
        <w:rPr>
          <w:noProof/>
          <w:lang w:val="en-US"/>
        </w:rPr>
        <w:t>arty (2004</w:t>
      </w:r>
      <w:r w:rsidR="00644FA8">
        <w:rPr>
          <w:noProof/>
          <w:lang w:val="en-US"/>
        </w:rPr>
        <w:t>:11</w:t>
      </w:r>
      <w:r w:rsidR="003C7C40" w:rsidRPr="003C7C40">
        <w:rPr>
          <w:noProof/>
          <w:lang w:val="en-US"/>
        </w:rPr>
        <w:t xml:space="preserve">) made about the franchise party model. According to </w:t>
      </w:r>
      <w:r w:rsidR="00127CD4">
        <w:rPr>
          <w:noProof/>
          <w:lang w:val="en-US"/>
        </w:rPr>
        <w:t>his</w:t>
      </w:r>
      <w:r w:rsidR="003C7C40" w:rsidRPr="003C7C40">
        <w:rPr>
          <w:noProof/>
          <w:lang w:val="en-US"/>
        </w:rPr>
        <w:t xml:space="preserve"> model </w:t>
      </w:r>
      <w:r w:rsidR="003C7C40" w:rsidRPr="0076490C">
        <w:rPr>
          <w:noProof/>
          <w:lang w:val="en-US"/>
        </w:rPr>
        <w:t xml:space="preserve">programmatic issues </w:t>
      </w:r>
      <w:r w:rsidR="00127CD4">
        <w:rPr>
          <w:noProof/>
          <w:lang w:val="en-US"/>
        </w:rPr>
        <w:t>are</w:t>
      </w:r>
      <w:r w:rsidR="003C7C40" w:rsidRPr="0076490C">
        <w:rPr>
          <w:noProof/>
          <w:lang w:val="en-US"/>
        </w:rPr>
        <w:t xml:space="preserve"> for the most part a central matter </w:t>
      </w:r>
      <w:r w:rsidR="003C7C40">
        <w:rPr>
          <w:noProof/>
          <w:lang w:val="en-US"/>
        </w:rPr>
        <w:t>in order to</w:t>
      </w:r>
      <w:r w:rsidR="00644FA8">
        <w:rPr>
          <w:noProof/>
          <w:lang w:val="en-US"/>
        </w:rPr>
        <w:t xml:space="preserve"> ensure</w:t>
      </w:r>
      <w:r w:rsidR="003C7C40" w:rsidRPr="0076490C">
        <w:rPr>
          <w:noProof/>
          <w:lang w:val="en-US"/>
        </w:rPr>
        <w:t xml:space="preserve"> “ […] </w:t>
      </w:r>
      <w:r w:rsidR="003C7C40" w:rsidRPr="0076490C">
        <w:rPr>
          <w:i/>
          <w:noProof/>
          <w:lang w:val="en-US"/>
        </w:rPr>
        <w:t>that the party is providing a consistent message to its supporters and the electorate</w:t>
      </w:r>
      <w:r w:rsidR="00644FA8">
        <w:rPr>
          <w:i/>
          <w:noProof/>
          <w:lang w:val="en-US"/>
        </w:rPr>
        <w:t xml:space="preserve">”. </w:t>
      </w:r>
      <w:r w:rsidR="00385DBE">
        <w:rPr>
          <w:noProof/>
          <w:lang w:val="en-US"/>
        </w:rPr>
        <w:t>Our analysis shows</w:t>
      </w:r>
      <w:r w:rsidR="00644FA8" w:rsidRPr="00AF088F">
        <w:rPr>
          <w:noProof/>
          <w:lang w:val="en-US"/>
        </w:rPr>
        <w:t xml:space="preserve"> that</w:t>
      </w:r>
      <w:r w:rsidR="00C41949">
        <w:rPr>
          <w:noProof/>
          <w:lang w:val="en-US"/>
        </w:rPr>
        <w:t xml:space="preserve"> </w:t>
      </w:r>
      <w:r w:rsidR="00644FA8" w:rsidRPr="00AF088F">
        <w:rPr>
          <w:noProof/>
          <w:lang w:val="en-US"/>
        </w:rPr>
        <w:t xml:space="preserve">the </w:t>
      </w:r>
      <w:r w:rsidR="00FB01A2">
        <w:rPr>
          <w:noProof/>
          <w:lang w:val="en-US"/>
        </w:rPr>
        <w:t xml:space="preserve">national </w:t>
      </w:r>
      <w:r w:rsidR="00644FA8" w:rsidRPr="00AF088F">
        <w:rPr>
          <w:noProof/>
          <w:lang w:val="en-US"/>
        </w:rPr>
        <w:t xml:space="preserve">model program </w:t>
      </w:r>
      <w:r w:rsidR="00FB01A2">
        <w:rPr>
          <w:noProof/>
          <w:lang w:val="en-US"/>
        </w:rPr>
        <w:t>i</w:t>
      </w:r>
      <w:r w:rsidR="00644FA8" w:rsidRPr="00AF088F">
        <w:rPr>
          <w:noProof/>
          <w:lang w:val="en-US"/>
        </w:rPr>
        <w:t xml:space="preserve">s </w:t>
      </w:r>
      <w:r w:rsidR="00252CA5">
        <w:rPr>
          <w:noProof/>
          <w:lang w:val="en-US"/>
        </w:rPr>
        <w:t xml:space="preserve">indeed </w:t>
      </w:r>
      <w:r w:rsidR="00385DBE" w:rsidRPr="00385DBE">
        <w:rPr>
          <w:noProof/>
          <w:lang w:val="en-US"/>
        </w:rPr>
        <w:t>a blueprint for the local program</w:t>
      </w:r>
      <w:r w:rsidR="00252CA5">
        <w:rPr>
          <w:noProof/>
          <w:lang w:val="en-US"/>
        </w:rPr>
        <w:t xml:space="preserve"> in terms of the relative attention paid to different policy domains</w:t>
      </w:r>
      <w:r w:rsidR="00385DBE">
        <w:rPr>
          <w:noProof/>
          <w:lang w:val="en-US"/>
        </w:rPr>
        <w:t xml:space="preserve">. The manifestos of local chapters </w:t>
      </w:r>
      <w:r w:rsidR="00937CB0">
        <w:rPr>
          <w:noProof/>
          <w:lang w:val="en-US"/>
        </w:rPr>
        <w:t>are</w:t>
      </w:r>
      <w:r w:rsidR="00385DBE">
        <w:rPr>
          <w:noProof/>
          <w:lang w:val="en-US"/>
        </w:rPr>
        <w:t xml:space="preserve"> </w:t>
      </w:r>
      <w:r w:rsidR="00385DBE" w:rsidRPr="00385DBE">
        <w:rPr>
          <w:noProof/>
          <w:lang w:val="en-US"/>
        </w:rPr>
        <w:t xml:space="preserve"> tinkered minimaly depending on the local needs but </w:t>
      </w:r>
      <w:r w:rsidR="00385DBE">
        <w:rPr>
          <w:noProof/>
          <w:lang w:val="en-US"/>
        </w:rPr>
        <w:t>the</w:t>
      </w:r>
      <w:r w:rsidR="00385DBE" w:rsidRPr="00385DBE">
        <w:rPr>
          <w:noProof/>
          <w:lang w:val="en-US"/>
        </w:rPr>
        <w:t xml:space="preserve"> core</w:t>
      </w:r>
      <w:r w:rsidR="00385DBE">
        <w:rPr>
          <w:noProof/>
          <w:lang w:val="en-US"/>
        </w:rPr>
        <w:t xml:space="preserve"> of the national program is always</w:t>
      </w:r>
      <w:r w:rsidR="00385DBE" w:rsidRPr="00385DBE">
        <w:rPr>
          <w:noProof/>
          <w:lang w:val="en-US"/>
        </w:rPr>
        <w:t xml:space="preserve"> maintained</w:t>
      </w:r>
      <w:r w:rsidR="00252CA5">
        <w:rPr>
          <w:noProof/>
          <w:lang w:val="en-US"/>
        </w:rPr>
        <w:t>.</w:t>
      </w:r>
    </w:p>
    <w:p w14:paraId="33005019" w14:textId="0AB6789C" w:rsidR="00A52419" w:rsidRDefault="00937CB0" w:rsidP="004A71FD">
      <w:pPr>
        <w:autoSpaceDE w:val="0"/>
        <w:autoSpaceDN w:val="0"/>
        <w:adjustRightInd w:val="0"/>
        <w:jc w:val="both"/>
        <w:rPr>
          <w:noProof/>
          <w:lang w:val="en-US"/>
        </w:rPr>
      </w:pPr>
      <w:r>
        <w:rPr>
          <w:noProof/>
          <w:lang w:val="en-US"/>
        </w:rPr>
        <w:lastRenderedPageBreak/>
        <w:t xml:space="preserve">The ideological impact of the national </w:t>
      </w:r>
      <w:r w:rsidR="00D15E5E">
        <w:rPr>
          <w:noProof/>
          <w:lang w:val="en-US"/>
        </w:rPr>
        <w:t xml:space="preserve">party </w:t>
      </w:r>
      <w:r>
        <w:rPr>
          <w:noProof/>
          <w:lang w:val="en-US"/>
        </w:rPr>
        <w:t xml:space="preserve">headquarter on its local chapters is </w:t>
      </w:r>
      <w:r w:rsidR="00252CA5">
        <w:rPr>
          <w:noProof/>
          <w:lang w:val="en-US"/>
        </w:rPr>
        <w:t xml:space="preserve">thus </w:t>
      </w:r>
      <w:r w:rsidR="00D15E5E">
        <w:rPr>
          <w:noProof/>
          <w:lang w:val="en-US"/>
        </w:rPr>
        <w:t>very substantial</w:t>
      </w:r>
      <w:r w:rsidR="00F649D3">
        <w:rPr>
          <w:noProof/>
          <w:lang w:val="en-US"/>
        </w:rPr>
        <w:t xml:space="preserve"> in our </w:t>
      </w:r>
      <w:r w:rsidR="00D15E5E">
        <w:rPr>
          <w:noProof/>
          <w:lang w:val="en-US"/>
        </w:rPr>
        <w:t>sample</w:t>
      </w:r>
      <w:r w:rsidR="00252CA5">
        <w:rPr>
          <w:noProof/>
          <w:lang w:val="en-US"/>
        </w:rPr>
        <w:t>. Still</w:t>
      </w:r>
      <w:r w:rsidR="00DD5A20">
        <w:rPr>
          <w:noProof/>
          <w:lang w:val="en-US"/>
        </w:rPr>
        <w:t>,</w:t>
      </w:r>
      <w:r w:rsidR="00252CA5">
        <w:rPr>
          <w:noProof/>
          <w:lang w:val="en-US"/>
        </w:rPr>
        <w:t xml:space="preserve"> variation exists and we have probed into different party and context factors to potentially account for this diversity trough multivariate analysis. </w:t>
      </w:r>
      <w:r w:rsidR="00DD5A20">
        <w:rPr>
          <w:noProof/>
          <w:lang w:val="en-US"/>
        </w:rPr>
        <w:t>Overall</w:t>
      </w:r>
      <w:r w:rsidR="00252CA5">
        <w:rPr>
          <w:noProof/>
          <w:lang w:val="en-US"/>
        </w:rPr>
        <w:t>, the explanatory power of our models is not very high. Even when combining both types of fa</w:t>
      </w:r>
      <w:r w:rsidR="00116E6A">
        <w:rPr>
          <w:noProof/>
          <w:lang w:val="en-US"/>
        </w:rPr>
        <w:t xml:space="preserve">ctors </w:t>
      </w:r>
      <w:r w:rsidR="00DD5A20">
        <w:rPr>
          <w:noProof/>
          <w:lang w:val="en-US"/>
        </w:rPr>
        <w:t>it</w:t>
      </w:r>
      <w:r w:rsidR="00116E6A">
        <w:rPr>
          <w:noProof/>
          <w:lang w:val="en-US"/>
        </w:rPr>
        <w:t xml:space="preserve"> remains rather weak. </w:t>
      </w:r>
      <w:r w:rsidR="00DD5A20">
        <w:rPr>
          <w:noProof/>
          <w:lang w:val="en-US"/>
        </w:rPr>
        <w:t>Generally</w:t>
      </w:r>
      <w:r w:rsidR="00116E6A">
        <w:rPr>
          <w:noProof/>
          <w:lang w:val="en-US"/>
        </w:rPr>
        <w:t xml:space="preserve">, context is more explanatory than party type. Specifically, right wing parties are significantly less ideologically nationalized. Party chapters included in the </w:t>
      </w:r>
      <w:r w:rsidR="00DD5A20">
        <w:rPr>
          <w:noProof/>
          <w:lang w:val="en-US"/>
        </w:rPr>
        <w:t>de</w:t>
      </w:r>
      <w:r w:rsidR="00116E6A">
        <w:rPr>
          <w:noProof/>
          <w:lang w:val="en-US"/>
        </w:rPr>
        <w:t xml:space="preserve">parting local majority and those active in larger municipalities show a significantly higher ideological nationalization. These relationships notwithstanding there is </w:t>
      </w:r>
      <w:r w:rsidR="00DD5A20">
        <w:rPr>
          <w:noProof/>
          <w:lang w:val="en-US"/>
        </w:rPr>
        <w:t xml:space="preserve">clearly </w:t>
      </w:r>
      <w:r w:rsidR="00116E6A">
        <w:rPr>
          <w:noProof/>
          <w:lang w:val="en-US"/>
        </w:rPr>
        <w:t>ample room for additional explanation.</w:t>
      </w:r>
      <w:r w:rsidR="00DD5A20">
        <w:rPr>
          <w:noProof/>
          <w:lang w:val="en-US"/>
        </w:rPr>
        <w:t xml:space="preserve"> </w:t>
      </w:r>
      <w:r w:rsidR="00116E6A">
        <w:rPr>
          <w:noProof/>
          <w:lang w:val="en-US"/>
        </w:rPr>
        <w:t>It may e.g. be</w:t>
      </w:r>
      <w:r w:rsidR="00FE07FC">
        <w:rPr>
          <w:noProof/>
          <w:lang w:val="en-US"/>
        </w:rPr>
        <w:t xml:space="preserve"> that individual level factors play an important r</w:t>
      </w:r>
      <w:r w:rsidR="00A52419">
        <w:rPr>
          <w:noProof/>
          <w:lang w:val="en-US"/>
        </w:rPr>
        <w:t>ole, such as</w:t>
      </w:r>
      <w:r w:rsidR="00FE07FC">
        <w:rPr>
          <w:noProof/>
          <w:lang w:val="en-US"/>
        </w:rPr>
        <w:t xml:space="preserve"> </w:t>
      </w:r>
      <w:r w:rsidR="00A52419">
        <w:rPr>
          <w:noProof/>
          <w:lang w:val="en-US"/>
        </w:rPr>
        <w:t xml:space="preserve">the presence of a local politician in the party in central office, the </w:t>
      </w:r>
      <w:r w:rsidR="00116E6A">
        <w:rPr>
          <w:noProof/>
          <w:lang w:val="en-US"/>
        </w:rPr>
        <w:t>capacity (time, personel, expertise)</w:t>
      </w:r>
      <w:r w:rsidR="00A52419">
        <w:rPr>
          <w:noProof/>
          <w:lang w:val="en-US"/>
        </w:rPr>
        <w:t xml:space="preserve"> to write a manifesto that is more than a copy-paste of the national model program, the ideological congruence between </w:t>
      </w:r>
      <w:r w:rsidR="00116E6A">
        <w:rPr>
          <w:noProof/>
          <w:lang w:val="en-US"/>
        </w:rPr>
        <w:t>(</w:t>
      </w:r>
      <w:r w:rsidR="00A52419">
        <w:rPr>
          <w:noProof/>
          <w:lang w:val="en-US"/>
        </w:rPr>
        <w:t>the president of</w:t>
      </w:r>
      <w:r w:rsidR="00116E6A">
        <w:rPr>
          <w:noProof/>
          <w:lang w:val="en-US"/>
        </w:rPr>
        <w:t>)</w:t>
      </w:r>
      <w:r w:rsidR="00A52419">
        <w:rPr>
          <w:noProof/>
          <w:lang w:val="en-US"/>
        </w:rPr>
        <w:t xml:space="preserve"> a local party chapter and the ideology of the national party, etc</w:t>
      </w:r>
      <w:r w:rsidR="00DD5A20">
        <w:rPr>
          <w:noProof/>
          <w:lang w:val="en-US"/>
        </w:rPr>
        <w:t>.</w:t>
      </w:r>
    </w:p>
    <w:p w14:paraId="4433F3C7" w14:textId="018F08B8" w:rsidR="00D51617" w:rsidRDefault="00D15E5E" w:rsidP="004A71FD">
      <w:pPr>
        <w:autoSpaceDE w:val="0"/>
        <w:autoSpaceDN w:val="0"/>
        <w:adjustRightInd w:val="0"/>
        <w:jc w:val="both"/>
        <w:rPr>
          <w:noProof/>
          <w:lang w:val="en-US"/>
        </w:rPr>
      </w:pPr>
      <w:r>
        <w:rPr>
          <w:noProof/>
          <w:lang w:val="en-US"/>
        </w:rPr>
        <w:t>Clearly</w:t>
      </w:r>
      <w:r w:rsidR="006346B0">
        <w:rPr>
          <w:noProof/>
          <w:lang w:val="en-US"/>
        </w:rPr>
        <w:t xml:space="preserve"> a </w:t>
      </w:r>
      <w:r w:rsidR="006346B0" w:rsidRPr="00FD1BC1">
        <w:rPr>
          <w:noProof/>
          <w:lang w:val="en-US"/>
        </w:rPr>
        <w:t>lot of reseach remains to be done</w:t>
      </w:r>
      <w:r w:rsidR="006346B0" w:rsidRPr="006346B0">
        <w:rPr>
          <w:noProof/>
          <w:lang w:val="en-US"/>
        </w:rPr>
        <w:t xml:space="preserve"> </w:t>
      </w:r>
      <w:r w:rsidR="00116E6A">
        <w:rPr>
          <w:noProof/>
          <w:lang w:val="en-US"/>
        </w:rPr>
        <w:t>at</w:t>
      </w:r>
      <w:r w:rsidR="006346B0" w:rsidRPr="00D15E5E">
        <w:rPr>
          <w:noProof/>
          <w:lang w:val="en-US"/>
        </w:rPr>
        <w:t xml:space="preserve"> </w:t>
      </w:r>
      <w:r w:rsidR="006346B0" w:rsidRPr="006346B0">
        <w:rPr>
          <w:noProof/>
          <w:lang w:val="en-US"/>
        </w:rPr>
        <w:t>the explanatory level</w:t>
      </w:r>
      <w:r w:rsidR="006346B0">
        <w:rPr>
          <w:noProof/>
          <w:lang w:val="en-US"/>
        </w:rPr>
        <w:t>, b</w:t>
      </w:r>
      <w:r w:rsidR="006346B0" w:rsidRPr="00D15E5E">
        <w:rPr>
          <w:noProof/>
          <w:lang w:val="en-US"/>
        </w:rPr>
        <w:t>ut this also accounts for the descriptive level. We only focus</w:t>
      </w:r>
      <w:r>
        <w:rPr>
          <w:noProof/>
          <w:lang w:val="en-US"/>
        </w:rPr>
        <w:t>sed</w:t>
      </w:r>
      <w:r w:rsidR="006346B0" w:rsidRPr="00D15E5E">
        <w:rPr>
          <w:noProof/>
          <w:lang w:val="en-US"/>
        </w:rPr>
        <w:t xml:space="preserve"> on one election, but the question of nationalization is </w:t>
      </w:r>
      <w:r w:rsidR="00615998">
        <w:rPr>
          <w:noProof/>
          <w:lang w:val="en-US"/>
        </w:rPr>
        <w:t xml:space="preserve">preferably </w:t>
      </w:r>
      <w:r w:rsidR="006346B0" w:rsidRPr="00D15E5E">
        <w:rPr>
          <w:noProof/>
          <w:lang w:val="en-US"/>
        </w:rPr>
        <w:t xml:space="preserve">analyzed longitudinally. </w:t>
      </w:r>
      <w:r w:rsidR="000F3D2F" w:rsidRPr="00615998">
        <w:rPr>
          <w:noProof/>
          <w:lang w:val="en-US"/>
        </w:rPr>
        <w:t xml:space="preserve">This would enable us to describe whether central-local </w:t>
      </w:r>
      <w:r w:rsidR="00116E6A">
        <w:rPr>
          <w:noProof/>
          <w:lang w:val="en-US"/>
        </w:rPr>
        <w:t xml:space="preserve">party </w:t>
      </w:r>
      <w:r w:rsidR="000F3D2F" w:rsidRPr="00615998">
        <w:rPr>
          <w:noProof/>
          <w:lang w:val="en-US"/>
        </w:rPr>
        <w:t xml:space="preserve">relations have </w:t>
      </w:r>
      <w:r>
        <w:rPr>
          <w:noProof/>
          <w:lang w:val="en-US"/>
        </w:rPr>
        <w:t xml:space="preserve">evolved over </w:t>
      </w:r>
      <w:r w:rsidR="00F345ED">
        <w:rPr>
          <w:noProof/>
          <w:lang w:val="en-US"/>
        </w:rPr>
        <w:t>time and localities have gained or lost autonomy</w:t>
      </w:r>
      <w:r w:rsidR="00615998" w:rsidRPr="00D15E5E">
        <w:rPr>
          <w:noProof/>
          <w:lang w:val="en-US"/>
        </w:rPr>
        <w:t xml:space="preserve">. </w:t>
      </w:r>
      <w:r w:rsidR="00615998" w:rsidRPr="00615998">
        <w:rPr>
          <w:noProof/>
          <w:lang w:val="en-US"/>
        </w:rPr>
        <w:t xml:space="preserve">However, the data for such a </w:t>
      </w:r>
      <w:r w:rsidR="00615998" w:rsidRPr="00D15E5E">
        <w:rPr>
          <w:noProof/>
          <w:lang w:val="en-US"/>
        </w:rPr>
        <w:t>longitudinal perspective are not available</w:t>
      </w:r>
      <w:r w:rsidR="00116E6A">
        <w:rPr>
          <w:noProof/>
          <w:lang w:val="en-US"/>
        </w:rPr>
        <w:t xml:space="preserve"> yet</w:t>
      </w:r>
      <w:r w:rsidR="00615998" w:rsidRPr="00D15E5E">
        <w:rPr>
          <w:noProof/>
          <w:lang w:val="en-US"/>
        </w:rPr>
        <w:t xml:space="preserve">. </w:t>
      </w:r>
      <w:r w:rsidR="00F345ED">
        <w:rPr>
          <w:noProof/>
          <w:lang w:val="en-US"/>
        </w:rPr>
        <w:t>Untill now</w:t>
      </w:r>
      <w:r w:rsidR="00E56361">
        <w:rPr>
          <w:noProof/>
          <w:lang w:val="en-US"/>
        </w:rPr>
        <w:t xml:space="preserve"> </w:t>
      </w:r>
      <w:r w:rsidR="00E56361" w:rsidRPr="00E56361">
        <w:rPr>
          <w:noProof/>
          <w:lang w:val="en-US"/>
        </w:rPr>
        <w:t xml:space="preserve">manifestos have not attracted abundant </w:t>
      </w:r>
      <w:r w:rsidR="00FB01A2">
        <w:rPr>
          <w:noProof/>
          <w:lang w:val="en-US"/>
        </w:rPr>
        <w:t xml:space="preserve">scholarly </w:t>
      </w:r>
      <w:r w:rsidR="00E56361" w:rsidRPr="00E56361">
        <w:rPr>
          <w:noProof/>
          <w:lang w:val="en-US"/>
        </w:rPr>
        <w:t xml:space="preserve">attention </w:t>
      </w:r>
      <w:r w:rsidR="00FB01A2">
        <w:rPr>
          <w:noProof/>
          <w:lang w:val="en-US"/>
        </w:rPr>
        <w:t>in</w:t>
      </w:r>
      <w:r w:rsidR="00E56361">
        <w:rPr>
          <w:noProof/>
          <w:lang w:val="en-US"/>
        </w:rPr>
        <w:t xml:space="preserve"> local politics.</w:t>
      </w:r>
      <w:r w:rsidR="008E574C">
        <w:rPr>
          <w:noProof/>
          <w:lang w:val="en-US"/>
        </w:rPr>
        <w:t xml:space="preserve"> </w:t>
      </w:r>
      <w:r w:rsidR="00E56361">
        <w:rPr>
          <w:noProof/>
          <w:lang w:val="en-US"/>
        </w:rPr>
        <w:t>We think this paper has proven that it is wort</w:t>
      </w:r>
      <w:r w:rsidR="00FB01A2">
        <w:rPr>
          <w:noProof/>
          <w:lang w:val="en-US"/>
        </w:rPr>
        <w:t>h</w:t>
      </w:r>
      <w:r w:rsidR="00C41949">
        <w:rPr>
          <w:noProof/>
          <w:lang w:val="en-US"/>
        </w:rPr>
        <w:t>while</w:t>
      </w:r>
      <w:r w:rsidR="00FB01A2">
        <w:rPr>
          <w:noProof/>
          <w:lang w:val="en-US"/>
        </w:rPr>
        <w:t xml:space="preserve"> analyzing local election programs</w:t>
      </w:r>
      <w:r w:rsidR="00E56361">
        <w:rPr>
          <w:noProof/>
          <w:lang w:val="en-US"/>
        </w:rPr>
        <w:t xml:space="preserve">. </w:t>
      </w:r>
      <w:r w:rsidR="00E8285F">
        <w:rPr>
          <w:noProof/>
          <w:lang w:val="en-US"/>
        </w:rPr>
        <w:t xml:space="preserve">Our method has made a first step herein by focussing on the congruence </w:t>
      </w:r>
      <w:r w:rsidR="00E5778A">
        <w:rPr>
          <w:noProof/>
          <w:lang w:val="en-US"/>
        </w:rPr>
        <w:t>between</w:t>
      </w:r>
      <w:r w:rsidR="00E8285F">
        <w:rPr>
          <w:noProof/>
          <w:lang w:val="en-US"/>
        </w:rPr>
        <w:t xml:space="preserve"> party levels in terms of </w:t>
      </w:r>
      <w:r w:rsidR="00E5778A">
        <w:rPr>
          <w:noProof/>
          <w:lang w:val="en-US"/>
        </w:rPr>
        <w:t xml:space="preserve">the </w:t>
      </w:r>
      <w:r w:rsidR="00E8285F">
        <w:rPr>
          <w:noProof/>
          <w:lang w:val="en-US"/>
        </w:rPr>
        <w:t xml:space="preserve">relative attention dedicated to designated policy domains. This should be complemented by taking into consideration similaries and differences in terms of position as well. The analysis of party manifestoes should thus be approach by several methods. More comprehensive data will not only enrich </w:t>
      </w:r>
      <w:r w:rsidR="008C0B81">
        <w:rPr>
          <w:noProof/>
          <w:lang w:val="en-US"/>
        </w:rPr>
        <w:t>the nationali</w:t>
      </w:r>
      <w:r w:rsidR="00FB01A2">
        <w:rPr>
          <w:noProof/>
          <w:lang w:val="en-US"/>
        </w:rPr>
        <w:t>zation debate</w:t>
      </w:r>
      <w:r w:rsidR="008C0B81">
        <w:rPr>
          <w:noProof/>
          <w:lang w:val="en-US"/>
        </w:rPr>
        <w:t xml:space="preserve"> </w:t>
      </w:r>
      <w:r w:rsidR="006346B0">
        <w:rPr>
          <w:noProof/>
          <w:lang w:val="en-US"/>
        </w:rPr>
        <w:t xml:space="preserve">or the party literature </w:t>
      </w:r>
      <w:r w:rsidR="00E8285F">
        <w:rPr>
          <w:noProof/>
          <w:lang w:val="en-US"/>
        </w:rPr>
        <w:t>. They</w:t>
      </w:r>
      <w:r w:rsidR="008C0B81">
        <w:rPr>
          <w:noProof/>
          <w:lang w:val="en-US"/>
        </w:rPr>
        <w:t xml:space="preserve">can </w:t>
      </w:r>
      <w:r w:rsidR="00FB01A2">
        <w:rPr>
          <w:noProof/>
          <w:lang w:val="en-US"/>
        </w:rPr>
        <w:t xml:space="preserve">also </w:t>
      </w:r>
      <w:r w:rsidR="008C0B81">
        <w:rPr>
          <w:noProof/>
          <w:lang w:val="en-US"/>
        </w:rPr>
        <w:t xml:space="preserve">help to unravel other interesting questions in local politics. </w:t>
      </w:r>
      <w:r w:rsidR="00FB01A2">
        <w:rPr>
          <w:noProof/>
          <w:lang w:val="en-US"/>
        </w:rPr>
        <w:t>For instance, combining content analysis and local manifes</w:t>
      </w:r>
      <w:r w:rsidR="00E8285F">
        <w:rPr>
          <w:noProof/>
          <w:lang w:val="en-US"/>
        </w:rPr>
        <w:t>t</w:t>
      </w:r>
      <w:r w:rsidR="00FB01A2">
        <w:rPr>
          <w:noProof/>
          <w:lang w:val="en-US"/>
        </w:rPr>
        <w:t>o</w:t>
      </w:r>
      <w:r w:rsidR="00E8285F">
        <w:rPr>
          <w:noProof/>
          <w:lang w:val="en-US"/>
        </w:rPr>
        <w:t>e</w:t>
      </w:r>
      <w:r w:rsidR="00FB01A2">
        <w:rPr>
          <w:noProof/>
          <w:lang w:val="en-US"/>
        </w:rPr>
        <w:t xml:space="preserve">s on a large scale </w:t>
      </w:r>
      <w:r w:rsidR="00C41949">
        <w:rPr>
          <w:noProof/>
          <w:lang w:val="en-US"/>
        </w:rPr>
        <w:t>could</w:t>
      </w:r>
      <w:r w:rsidR="000A4884">
        <w:rPr>
          <w:noProof/>
          <w:lang w:val="en-US"/>
        </w:rPr>
        <w:t xml:space="preserve">, </w:t>
      </w:r>
      <w:r w:rsidR="00C41949">
        <w:rPr>
          <w:noProof/>
          <w:lang w:val="en-US"/>
        </w:rPr>
        <w:t>as a next step in this line of reseach</w:t>
      </w:r>
      <w:r w:rsidR="000A4884">
        <w:rPr>
          <w:noProof/>
          <w:lang w:val="en-US"/>
        </w:rPr>
        <w:t xml:space="preserve">, </w:t>
      </w:r>
      <w:r w:rsidR="00FB01A2">
        <w:rPr>
          <w:noProof/>
          <w:lang w:val="en-US"/>
        </w:rPr>
        <w:t xml:space="preserve">be </w:t>
      </w:r>
      <w:r w:rsidR="00C41949">
        <w:rPr>
          <w:noProof/>
          <w:lang w:val="en-US"/>
        </w:rPr>
        <w:t xml:space="preserve">a </w:t>
      </w:r>
      <w:r w:rsidR="00FB01A2">
        <w:rPr>
          <w:noProof/>
          <w:lang w:val="en-US"/>
        </w:rPr>
        <w:t>fruitful</w:t>
      </w:r>
      <w:r w:rsidR="00C41949">
        <w:rPr>
          <w:noProof/>
          <w:lang w:val="en-US"/>
        </w:rPr>
        <w:t xml:space="preserve"> way</w:t>
      </w:r>
      <w:r w:rsidR="00FB01A2">
        <w:rPr>
          <w:noProof/>
          <w:lang w:val="en-US"/>
        </w:rPr>
        <w:t xml:space="preserve"> </w:t>
      </w:r>
      <w:r w:rsidR="00C41949">
        <w:rPr>
          <w:noProof/>
          <w:lang w:val="en-US"/>
        </w:rPr>
        <w:t xml:space="preserve">of </w:t>
      </w:r>
      <w:r w:rsidR="00FB01A2">
        <w:rPr>
          <w:noProof/>
          <w:lang w:val="en-US"/>
        </w:rPr>
        <w:t>testing the role of ideology in coalition theories</w:t>
      </w:r>
      <w:r w:rsidR="00DE2297">
        <w:rPr>
          <w:noProof/>
          <w:lang w:val="en-US"/>
        </w:rPr>
        <w:t xml:space="preserve">. </w:t>
      </w:r>
      <w:r w:rsidR="00F345ED">
        <w:rPr>
          <w:noProof/>
          <w:lang w:val="en-US"/>
        </w:rPr>
        <w:t>Furthermore</w:t>
      </w:r>
      <w:r w:rsidR="00615998">
        <w:rPr>
          <w:noProof/>
          <w:lang w:val="en-US"/>
        </w:rPr>
        <w:t xml:space="preserve"> manifesto data could help </w:t>
      </w:r>
      <w:r w:rsidR="00F345ED">
        <w:rPr>
          <w:noProof/>
          <w:lang w:val="en-US"/>
        </w:rPr>
        <w:t>identify problems concerning</w:t>
      </w:r>
      <w:r w:rsidR="00615998">
        <w:rPr>
          <w:noProof/>
          <w:lang w:val="en-US"/>
        </w:rPr>
        <w:t xml:space="preserve"> local acountability: to what extent </w:t>
      </w:r>
      <w:r w:rsidR="0045385C">
        <w:rPr>
          <w:noProof/>
          <w:lang w:val="en-US"/>
        </w:rPr>
        <w:t xml:space="preserve">are </w:t>
      </w:r>
      <w:r w:rsidR="00615998">
        <w:rPr>
          <w:noProof/>
          <w:lang w:val="en-US"/>
        </w:rPr>
        <w:t xml:space="preserve">local parties </w:t>
      </w:r>
      <w:r w:rsidR="0045385C">
        <w:rPr>
          <w:noProof/>
          <w:lang w:val="en-US"/>
        </w:rPr>
        <w:t>participating in the</w:t>
      </w:r>
      <w:r w:rsidR="00615998">
        <w:rPr>
          <w:noProof/>
          <w:lang w:val="en-US"/>
        </w:rPr>
        <w:t xml:space="preserve"> </w:t>
      </w:r>
      <w:r w:rsidR="0045385C">
        <w:rPr>
          <w:noProof/>
          <w:lang w:val="en-US"/>
        </w:rPr>
        <w:t>municipal</w:t>
      </w:r>
      <w:r w:rsidR="00615998">
        <w:rPr>
          <w:noProof/>
          <w:lang w:val="en-US"/>
        </w:rPr>
        <w:t xml:space="preserve"> majority</w:t>
      </w:r>
      <w:r w:rsidR="0045385C">
        <w:rPr>
          <w:noProof/>
          <w:lang w:val="en-US"/>
        </w:rPr>
        <w:t xml:space="preserve"> aware of their promises </w:t>
      </w:r>
      <w:r w:rsidR="00615998">
        <w:rPr>
          <w:noProof/>
          <w:lang w:val="en-US"/>
        </w:rPr>
        <w:t xml:space="preserve">during the </w:t>
      </w:r>
      <w:r w:rsidR="0045385C">
        <w:rPr>
          <w:noProof/>
          <w:lang w:val="en-US"/>
        </w:rPr>
        <w:t xml:space="preserve">preceding </w:t>
      </w:r>
      <w:r w:rsidR="00615998">
        <w:rPr>
          <w:noProof/>
          <w:lang w:val="en-US"/>
        </w:rPr>
        <w:t xml:space="preserve">campaign. </w:t>
      </w:r>
      <w:r w:rsidR="00D51617" w:rsidRPr="00D51617">
        <w:rPr>
          <w:noProof/>
          <w:lang w:val="en-US"/>
        </w:rPr>
        <w:t>As t</w:t>
      </w:r>
      <w:r w:rsidR="00D51617" w:rsidRPr="0045385C">
        <w:rPr>
          <w:noProof/>
          <w:lang w:val="en-US"/>
        </w:rPr>
        <w:t>he number of questions that can be devised is endless, we hope to have triggered interest for manifesto research on the local level.</w:t>
      </w:r>
    </w:p>
    <w:p w14:paraId="6F68F131" w14:textId="7A018965" w:rsidR="004104E8" w:rsidRPr="005B5D82" w:rsidRDefault="004104E8" w:rsidP="0076490C">
      <w:pPr>
        <w:spacing w:after="0" w:line="240" w:lineRule="auto"/>
        <w:jc w:val="both"/>
        <w:rPr>
          <w:b/>
          <w:sz w:val="20"/>
          <w:szCs w:val="20"/>
          <w:lang w:val="en-GB"/>
        </w:rPr>
      </w:pPr>
      <w:r w:rsidRPr="005B5D82">
        <w:rPr>
          <w:b/>
          <w:sz w:val="20"/>
          <w:szCs w:val="20"/>
          <w:lang w:val="en-GB"/>
        </w:rPr>
        <w:t>Appendix</w:t>
      </w:r>
    </w:p>
    <w:p w14:paraId="27F9D1E6" w14:textId="77777777" w:rsidR="004104E8" w:rsidRDefault="004104E8" w:rsidP="0076490C">
      <w:pPr>
        <w:spacing w:after="0" w:line="240" w:lineRule="auto"/>
        <w:jc w:val="both"/>
        <w:rPr>
          <w:sz w:val="20"/>
          <w:szCs w:val="20"/>
          <w:lang w:val="en-GB"/>
        </w:rPr>
      </w:pPr>
    </w:p>
    <w:p w14:paraId="35F62A04" w14:textId="3FC7764D" w:rsidR="00881F68" w:rsidRPr="00A219F1" w:rsidRDefault="00940E7C" w:rsidP="0076490C">
      <w:pPr>
        <w:spacing w:after="0" w:line="240" w:lineRule="auto"/>
        <w:jc w:val="both"/>
        <w:rPr>
          <w:b/>
          <w:sz w:val="20"/>
          <w:szCs w:val="20"/>
          <w:lang w:val="en-US"/>
        </w:rPr>
      </w:pPr>
      <w:r w:rsidRPr="00A219F1">
        <w:rPr>
          <w:b/>
          <w:sz w:val="20"/>
          <w:szCs w:val="20"/>
          <w:lang w:val="en-US"/>
        </w:rPr>
        <w:t>Table 1: Locally oriented c</w:t>
      </w:r>
      <w:r w:rsidR="00881F68" w:rsidRPr="00A219F1">
        <w:rPr>
          <w:b/>
          <w:sz w:val="20"/>
          <w:szCs w:val="20"/>
          <w:lang w:val="en-US"/>
        </w:rPr>
        <w:t>oding scheme</w:t>
      </w:r>
    </w:p>
    <w:p w14:paraId="5BC698EA" w14:textId="77777777" w:rsidR="004104E8" w:rsidRPr="00A219F1" w:rsidRDefault="004104E8" w:rsidP="0076490C">
      <w:pPr>
        <w:spacing w:after="0" w:line="240" w:lineRule="auto"/>
        <w:jc w:val="both"/>
        <w:rPr>
          <w:sz w:val="20"/>
          <w:szCs w:val="20"/>
          <w:lang w:val="en-US"/>
        </w:rPr>
      </w:pPr>
    </w:p>
    <w:tbl>
      <w:tblPr>
        <w:tblW w:w="8475" w:type="dxa"/>
        <w:tblCellMar>
          <w:left w:w="70" w:type="dxa"/>
          <w:right w:w="70" w:type="dxa"/>
        </w:tblCellMar>
        <w:tblLook w:val="04A0" w:firstRow="1" w:lastRow="0" w:firstColumn="1" w:lastColumn="0" w:noHBand="0" w:noVBand="1"/>
      </w:tblPr>
      <w:tblGrid>
        <w:gridCol w:w="395"/>
        <w:gridCol w:w="2314"/>
        <w:gridCol w:w="5766"/>
      </w:tblGrid>
      <w:tr w:rsidR="00881F68" w:rsidRPr="00A219F1" w14:paraId="2400E5F8" w14:textId="77777777" w:rsidTr="005B5D82">
        <w:trPr>
          <w:trHeight w:val="300"/>
        </w:trPr>
        <w:tc>
          <w:tcPr>
            <w:tcW w:w="395" w:type="dxa"/>
            <w:tcBorders>
              <w:top w:val="single" w:sz="4" w:space="0" w:color="auto"/>
              <w:left w:val="single" w:sz="4" w:space="0" w:color="auto"/>
              <w:bottom w:val="single" w:sz="4" w:space="0" w:color="auto"/>
              <w:right w:val="single" w:sz="4" w:space="0" w:color="auto"/>
            </w:tcBorders>
          </w:tcPr>
          <w:p w14:paraId="6CE5246B" w14:textId="77777777" w:rsidR="00881F68" w:rsidRPr="00A219F1" w:rsidRDefault="00881F68" w:rsidP="00881F68">
            <w:pPr>
              <w:spacing w:after="0" w:line="240" w:lineRule="auto"/>
              <w:jc w:val="center"/>
              <w:rPr>
                <w:rFonts w:ascii="Calibri" w:eastAsia="Times New Roman" w:hAnsi="Calibri" w:cs="Calibri"/>
                <w:b/>
                <w:bCs/>
                <w:color w:val="000000"/>
                <w:sz w:val="20"/>
                <w:szCs w:val="20"/>
                <w:lang w:val="en-US" w:eastAsia="nl-BE"/>
              </w:rPr>
            </w:pP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0DCA" w14:textId="77777777" w:rsidR="00881F68" w:rsidRPr="00A219F1" w:rsidRDefault="00881F68" w:rsidP="00881F68">
            <w:pPr>
              <w:spacing w:after="0" w:line="240" w:lineRule="auto"/>
              <w:jc w:val="center"/>
              <w:rPr>
                <w:rFonts w:ascii="Calibri" w:eastAsia="Times New Roman" w:hAnsi="Calibri" w:cs="Calibri"/>
                <w:b/>
                <w:bCs/>
                <w:color w:val="000000"/>
                <w:sz w:val="20"/>
                <w:szCs w:val="20"/>
                <w:lang w:val="en-US" w:eastAsia="nl-BE"/>
              </w:rPr>
            </w:pPr>
            <w:r w:rsidRPr="00A219F1">
              <w:rPr>
                <w:rFonts w:ascii="Calibri" w:eastAsia="Times New Roman" w:hAnsi="Calibri" w:cs="Calibri"/>
                <w:b/>
                <w:bCs/>
                <w:color w:val="000000"/>
                <w:sz w:val="20"/>
                <w:szCs w:val="20"/>
                <w:lang w:val="en-US" w:eastAsia="nl-BE"/>
              </w:rPr>
              <w:t>Category</w:t>
            </w:r>
          </w:p>
        </w:tc>
        <w:tc>
          <w:tcPr>
            <w:tcW w:w="5766" w:type="dxa"/>
            <w:tcBorders>
              <w:top w:val="single" w:sz="4" w:space="0" w:color="auto"/>
              <w:left w:val="nil"/>
              <w:bottom w:val="single" w:sz="4" w:space="0" w:color="auto"/>
              <w:right w:val="single" w:sz="4" w:space="0" w:color="auto"/>
            </w:tcBorders>
            <w:shd w:val="clear" w:color="auto" w:fill="auto"/>
            <w:vAlign w:val="bottom"/>
            <w:hideMark/>
          </w:tcPr>
          <w:p w14:paraId="4924CE08" w14:textId="77777777" w:rsidR="00881F68" w:rsidRPr="00A219F1" w:rsidRDefault="00881F68" w:rsidP="00881F68">
            <w:pPr>
              <w:spacing w:after="0" w:line="240" w:lineRule="auto"/>
              <w:jc w:val="center"/>
              <w:rPr>
                <w:rFonts w:ascii="Calibri" w:eastAsia="Times New Roman" w:hAnsi="Calibri" w:cs="Calibri"/>
                <w:b/>
                <w:bCs/>
                <w:color w:val="000000"/>
                <w:sz w:val="20"/>
                <w:szCs w:val="20"/>
                <w:lang w:val="en-US" w:eastAsia="nl-BE"/>
              </w:rPr>
            </w:pPr>
            <w:r w:rsidRPr="00A219F1">
              <w:rPr>
                <w:rFonts w:ascii="Calibri" w:eastAsia="Times New Roman" w:hAnsi="Calibri" w:cs="Calibri"/>
                <w:b/>
                <w:bCs/>
                <w:color w:val="000000"/>
                <w:sz w:val="20"/>
                <w:szCs w:val="20"/>
                <w:lang w:val="en-US" w:eastAsia="nl-BE"/>
              </w:rPr>
              <w:t xml:space="preserve">Content </w:t>
            </w:r>
          </w:p>
        </w:tc>
      </w:tr>
      <w:tr w:rsidR="00881F68" w:rsidRPr="008663A3" w14:paraId="1CAC7280" w14:textId="77777777" w:rsidTr="005B5D82">
        <w:trPr>
          <w:trHeight w:val="525"/>
        </w:trPr>
        <w:tc>
          <w:tcPr>
            <w:tcW w:w="395" w:type="dxa"/>
            <w:tcBorders>
              <w:top w:val="nil"/>
              <w:left w:val="single" w:sz="4" w:space="0" w:color="auto"/>
              <w:bottom w:val="single" w:sz="4" w:space="0" w:color="auto"/>
              <w:right w:val="single" w:sz="4" w:space="0" w:color="auto"/>
            </w:tcBorders>
          </w:tcPr>
          <w:p w14:paraId="5183257F"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2F42612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Communication and the digital revolution</w:t>
            </w:r>
          </w:p>
        </w:tc>
        <w:tc>
          <w:tcPr>
            <w:tcW w:w="5766" w:type="dxa"/>
            <w:tcBorders>
              <w:top w:val="nil"/>
              <w:left w:val="nil"/>
              <w:bottom w:val="single" w:sz="4" w:space="0" w:color="auto"/>
              <w:right w:val="single" w:sz="4" w:space="0" w:color="auto"/>
            </w:tcBorders>
            <w:shd w:val="clear" w:color="auto" w:fill="auto"/>
            <w:vAlign w:val="bottom"/>
            <w:hideMark/>
          </w:tcPr>
          <w:p w14:paraId="20955A0D" w14:textId="69F4E62A"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Local </w:t>
            </w:r>
            <w:r w:rsidR="00A219F1" w:rsidRPr="00A219F1">
              <w:rPr>
                <w:rFonts w:ascii="Calibri" w:eastAsia="Times New Roman" w:hAnsi="Calibri" w:cs="Calibri"/>
                <w:color w:val="000000"/>
                <w:sz w:val="20"/>
                <w:szCs w:val="20"/>
                <w:lang w:val="en-US" w:eastAsia="nl-BE"/>
              </w:rPr>
              <w:t>communication</w:t>
            </w:r>
            <w:r w:rsidRPr="00A219F1">
              <w:rPr>
                <w:rFonts w:ascii="Calibri" w:eastAsia="Times New Roman" w:hAnsi="Calibri" w:cs="Calibri"/>
                <w:color w:val="000000"/>
                <w:sz w:val="20"/>
                <w:szCs w:val="20"/>
                <w:lang w:val="en-US" w:eastAsia="nl-BE"/>
              </w:rPr>
              <w:t xml:space="preserve">, e-government, City marketing, Local campaigns and </w:t>
            </w:r>
            <w:proofErr w:type="spellStart"/>
            <w:r w:rsidRPr="00A219F1">
              <w:rPr>
                <w:rFonts w:ascii="Calibri" w:eastAsia="Times New Roman" w:hAnsi="Calibri" w:cs="Calibri"/>
                <w:color w:val="000000"/>
                <w:sz w:val="20"/>
                <w:szCs w:val="20"/>
                <w:lang w:val="en-US" w:eastAsia="nl-BE"/>
              </w:rPr>
              <w:t>sensibilization</w:t>
            </w:r>
            <w:proofErr w:type="spellEnd"/>
            <w:r w:rsidRPr="00A219F1">
              <w:rPr>
                <w:rFonts w:ascii="Calibri" w:eastAsia="Times New Roman" w:hAnsi="Calibri" w:cs="Calibri"/>
                <w:color w:val="000000"/>
                <w:sz w:val="20"/>
                <w:szCs w:val="20"/>
                <w:lang w:val="en-US" w:eastAsia="nl-BE"/>
              </w:rPr>
              <w:t xml:space="preserve">, ICT and </w:t>
            </w:r>
            <w:r w:rsidR="00A219F1" w:rsidRPr="00A219F1">
              <w:rPr>
                <w:rFonts w:ascii="Calibri" w:eastAsia="Times New Roman" w:hAnsi="Calibri" w:cs="Calibri"/>
                <w:color w:val="000000"/>
                <w:sz w:val="20"/>
                <w:szCs w:val="20"/>
                <w:lang w:val="en-US" w:eastAsia="nl-BE"/>
              </w:rPr>
              <w:t>Wi-Fi</w:t>
            </w:r>
            <w:r w:rsidRPr="00A219F1">
              <w:rPr>
                <w:rFonts w:ascii="Calibri" w:eastAsia="Times New Roman" w:hAnsi="Calibri" w:cs="Calibri"/>
                <w:color w:val="000000"/>
                <w:sz w:val="20"/>
                <w:szCs w:val="20"/>
                <w:lang w:val="en-US" w:eastAsia="nl-BE"/>
              </w:rPr>
              <w:t>, Smartphone apps, Reduction of the administrative burden</w:t>
            </w:r>
          </w:p>
        </w:tc>
      </w:tr>
      <w:tr w:rsidR="00881F68" w:rsidRPr="008663A3" w14:paraId="5EEC1FDA" w14:textId="77777777" w:rsidTr="005B5D82">
        <w:trPr>
          <w:trHeight w:val="525"/>
        </w:trPr>
        <w:tc>
          <w:tcPr>
            <w:tcW w:w="395" w:type="dxa"/>
            <w:tcBorders>
              <w:top w:val="nil"/>
              <w:left w:val="single" w:sz="4" w:space="0" w:color="auto"/>
              <w:bottom w:val="single" w:sz="4" w:space="0" w:color="auto"/>
              <w:right w:val="single" w:sz="4" w:space="0" w:color="auto"/>
            </w:tcBorders>
          </w:tcPr>
          <w:p w14:paraId="1EB160CF"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2</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15DBA38B"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Culture and tourism</w:t>
            </w:r>
          </w:p>
        </w:tc>
        <w:tc>
          <w:tcPr>
            <w:tcW w:w="5766" w:type="dxa"/>
            <w:tcBorders>
              <w:top w:val="nil"/>
              <w:left w:val="nil"/>
              <w:bottom w:val="single" w:sz="4" w:space="0" w:color="auto"/>
              <w:right w:val="single" w:sz="4" w:space="0" w:color="auto"/>
            </w:tcBorders>
            <w:shd w:val="clear" w:color="auto" w:fill="auto"/>
            <w:vAlign w:val="bottom"/>
            <w:hideMark/>
          </w:tcPr>
          <w:p w14:paraId="261DC3C5" w14:textId="2A3F38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General spare time policy, Libraries, Nightlife, Events and concerts, Local societies, Art, Care of monuments, Festivals, </w:t>
            </w:r>
            <w:r w:rsidR="00A219F1" w:rsidRPr="00A219F1">
              <w:rPr>
                <w:rFonts w:ascii="Calibri" w:eastAsia="Times New Roman" w:hAnsi="Calibri" w:cs="Calibri"/>
                <w:color w:val="000000"/>
                <w:sz w:val="20"/>
                <w:szCs w:val="20"/>
                <w:lang w:val="en-US" w:eastAsia="nl-BE"/>
              </w:rPr>
              <w:t>Carnival</w:t>
            </w:r>
            <w:r w:rsidRPr="00A219F1">
              <w:rPr>
                <w:rFonts w:ascii="Calibri" w:eastAsia="Times New Roman" w:hAnsi="Calibri" w:cs="Calibri"/>
                <w:color w:val="000000"/>
                <w:sz w:val="20"/>
                <w:szCs w:val="20"/>
                <w:lang w:val="en-US" w:eastAsia="nl-BE"/>
              </w:rPr>
              <w:t>, Museums</w:t>
            </w:r>
          </w:p>
        </w:tc>
      </w:tr>
      <w:tr w:rsidR="00881F68" w:rsidRPr="008663A3" w14:paraId="1EF3578A" w14:textId="77777777" w:rsidTr="005B5D82">
        <w:trPr>
          <w:trHeight w:val="300"/>
        </w:trPr>
        <w:tc>
          <w:tcPr>
            <w:tcW w:w="395" w:type="dxa"/>
            <w:tcBorders>
              <w:top w:val="nil"/>
              <w:left w:val="single" w:sz="4" w:space="0" w:color="auto"/>
              <w:bottom w:val="single" w:sz="4" w:space="0" w:color="auto"/>
              <w:right w:val="single" w:sz="4" w:space="0" w:color="auto"/>
            </w:tcBorders>
          </w:tcPr>
          <w:p w14:paraId="238ECC62"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3</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38438B71" w14:textId="1690641E"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Service </w:t>
            </w:r>
            <w:r w:rsidR="00A219F1" w:rsidRPr="00A219F1">
              <w:rPr>
                <w:rFonts w:ascii="Calibri" w:eastAsia="Times New Roman" w:hAnsi="Calibri" w:cs="Calibri"/>
                <w:color w:val="000000"/>
                <w:sz w:val="20"/>
                <w:szCs w:val="20"/>
                <w:lang w:val="en-US" w:eastAsia="nl-BE"/>
              </w:rPr>
              <w:t>provision</w:t>
            </w:r>
          </w:p>
        </w:tc>
        <w:tc>
          <w:tcPr>
            <w:tcW w:w="5766" w:type="dxa"/>
            <w:tcBorders>
              <w:top w:val="nil"/>
              <w:left w:val="nil"/>
              <w:bottom w:val="single" w:sz="4" w:space="0" w:color="auto"/>
              <w:right w:val="single" w:sz="4" w:space="0" w:color="auto"/>
            </w:tcBorders>
            <w:shd w:val="clear" w:color="auto" w:fill="auto"/>
            <w:vAlign w:val="bottom"/>
            <w:hideMark/>
          </w:tcPr>
          <w:p w14:paraId="12493E9A"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Administration, Human resources, box-office, Permissions, Opening hours</w:t>
            </w:r>
          </w:p>
        </w:tc>
      </w:tr>
      <w:tr w:rsidR="00881F68" w:rsidRPr="008663A3" w14:paraId="4B6E8AAF" w14:textId="77777777" w:rsidTr="005B5D82">
        <w:trPr>
          <w:trHeight w:val="525"/>
        </w:trPr>
        <w:tc>
          <w:tcPr>
            <w:tcW w:w="395" w:type="dxa"/>
            <w:tcBorders>
              <w:top w:val="nil"/>
              <w:left w:val="single" w:sz="4" w:space="0" w:color="auto"/>
              <w:bottom w:val="single" w:sz="4" w:space="0" w:color="auto"/>
              <w:right w:val="single" w:sz="4" w:space="0" w:color="auto"/>
            </w:tcBorders>
          </w:tcPr>
          <w:p w14:paraId="78720872"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4</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49BAE9E9"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Diversity and integration</w:t>
            </w:r>
          </w:p>
        </w:tc>
        <w:tc>
          <w:tcPr>
            <w:tcW w:w="5766" w:type="dxa"/>
            <w:tcBorders>
              <w:top w:val="nil"/>
              <w:left w:val="nil"/>
              <w:bottom w:val="single" w:sz="4" w:space="0" w:color="auto"/>
              <w:right w:val="single" w:sz="4" w:space="0" w:color="auto"/>
            </w:tcBorders>
            <w:shd w:val="clear" w:color="auto" w:fill="auto"/>
            <w:vAlign w:val="bottom"/>
            <w:hideMark/>
          </w:tcPr>
          <w:p w14:paraId="22AC6A16"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Racism policy, Equality, Accessibility, Sexual preference policy, Policy towards foreigners, Civic integration, Freedom of religion</w:t>
            </w:r>
          </w:p>
        </w:tc>
      </w:tr>
      <w:tr w:rsidR="00881F68" w:rsidRPr="008663A3" w14:paraId="05EAC40F" w14:textId="77777777" w:rsidTr="005B5D82">
        <w:trPr>
          <w:trHeight w:val="300"/>
        </w:trPr>
        <w:tc>
          <w:tcPr>
            <w:tcW w:w="395" w:type="dxa"/>
            <w:tcBorders>
              <w:top w:val="nil"/>
              <w:left w:val="single" w:sz="4" w:space="0" w:color="auto"/>
              <w:bottom w:val="single" w:sz="4" w:space="0" w:color="auto"/>
              <w:right w:val="single" w:sz="4" w:space="0" w:color="auto"/>
            </w:tcBorders>
          </w:tcPr>
          <w:p w14:paraId="6ACB3A5B"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5</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118AACA6"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Finances</w:t>
            </w:r>
          </w:p>
        </w:tc>
        <w:tc>
          <w:tcPr>
            <w:tcW w:w="5766" w:type="dxa"/>
            <w:tcBorders>
              <w:top w:val="nil"/>
              <w:left w:val="nil"/>
              <w:bottom w:val="single" w:sz="4" w:space="0" w:color="auto"/>
              <w:right w:val="single" w:sz="4" w:space="0" w:color="auto"/>
            </w:tcBorders>
            <w:shd w:val="clear" w:color="auto" w:fill="auto"/>
            <w:vAlign w:val="bottom"/>
            <w:hideMark/>
          </w:tcPr>
          <w:p w14:paraId="100E0BE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Budget, Taxes, Administrative rules towards budgetary control</w:t>
            </w:r>
          </w:p>
        </w:tc>
      </w:tr>
      <w:tr w:rsidR="00881F68" w:rsidRPr="008663A3" w14:paraId="5B21DA06" w14:textId="77777777" w:rsidTr="005B5D82">
        <w:trPr>
          <w:trHeight w:val="300"/>
        </w:trPr>
        <w:tc>
          <w:tcPr>
            <w:tcW w:w="395" w:type="dxa"/>
            <w:tcBorders>
              <w:top w:val="nil"/>
              <w:left w:val="single" w:sz="4" w:space="0" w:color="auto"/>
              <w:bottom w:val="single" w:sz="4" w:space="0" w:color="auto"/>
              <w:right w:val="single" w:sz="4" w:space="0" w:color="auto"/>
            </w:tcBorders>
          </w:tcPr>
          <w:p w14:paraId="1A701698"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lastRenderedPageBreak/>
              <w:t>6</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591F7FF6"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Community</w:t>
            </w:r>
          </w:p>
        </w:tc>
        <w:tc>
          <w:tcPr>
            <w:tcW w:w="5766" w:type="dxa"/>
            <w:tcBorders>
              <w:top w:val="nil"/>
              <w:left w:val="nil"/>
              <w:bottom w:val="single" w:sz="4" w:space="0" w:color="auto"/>
              <w:right w:val="single" w:sz="4" w:space="0" w:color="auto"/>
            </w:tcBorders>
            <w:shd w:val="clear" w:color="auto" w:fill="auto"/>
            <w:vAlign w:val="bottom"/>
            <w:hideMark/>
          </w:tcPr>
          <w:p w14:paraId="287CE9CB" w14:textId="6D462808"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Flemish culture and identity, Community building, Social cohesion, Folklore, </w:t>
            </w:r>
            <w:r w:rsidR="00A219F1" w:rsidRPr="00A219F1">
              <w:rPr>
                <w:rFonts w:ascii="Calibri" w:eastAsia="Times New Roman" w:hAnsi="Calibri" w:cs="Calibri"/>
                <w:color w:val="000000"/>
                <w:sz w:val="20"/>
                <w:szCs w:val="20"/>
                <w:lang w:val="en-US" w:eastAsia="nl-BE"/>
              </w:rPr>
              <w:t>Neighborhood</w:t>
            </w:r>
            <w:r w:rsidRPr="00A219F1">
              <w:rPr>
                <w:rFonts w:ascii="Calibri" w:eastAsia="Times New Roman" w:hAnsi="Calibri" w:cs="Calibri"/>
                <w:color w:val="000000"/>
                <w:sz w:val="20"/>
                <w:szCs w:val="20"/>
                <w:lang w:val="en-US" w:eastAsia="nl-BE"/>
              </w:rPr>
              <w:t xml:space="preserve"> policy</w:t>
            </w:r>
          </w:p>
        </w:tc>
      </w:tr>
      <w:tr w:rsidR="00881F68" w:rsidRPr="008663A3" w14:paraId="214D409D" w14:textId="77777777" w:rsidTr="005B5D82">
        <w:trPr>
          <w:trHeight w:val="300"/>
        </w:trPr>
        <w:tc>
          <w:tcPr>
            <w:tcW w:w="395" w:type="dxa"/>
            <w:tcBorders>
              <w:top w:val="nil"/>
              <w:left w:val="single" w:sz="4" w:space="0" w:color="auto"/>
              <w:bottom w:val="single" w:sz="4" w:space="0" w:color="auto"/>
              <w:right w:val="single" w:sz="4" w:space="0" w:color="auto"/>
            </w:tcBorders>
          </w:tcPr>
          <w:p w14:paraId="3CB60ABF"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7</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2EC710D0"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Democratic participation</w:t>
            </w:r>
          </w:p>
        </w:tc>
        <w:tc>
          <w:tcPr>
            <w:tcW w:w="5766" w:type="dxa"/>
            <w:tcBorders>
              <w:top w:val="nil"/>
              <w:left w:val="nil"/>
              <w:bottom w:val="single" w:sz="4" w:space="0" w:color="auto"/>
              <w:right w:val="single" w:sz="4" w:space="0" w:color="auto"/>
            </w:tcBorders>
            <w:shd w:val="clear" w:color="auto" w:fill="auto"/>
            <w:vAlign w:val="bottom"/>
            <w:hideMark/>
          </w:tcPr>
          <w:p w14:paraId="25DCC3B8" w14:textId="7A5043A1"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Civic </w:t>
            </w:r>
            <w:r w:rsidR="00A219F1" w:rsidRPr="00A219F1">
              <w:rPr>
                <w:rFonts w:ascii="Calibri" w:eastAsia="Times New Roman" w:hAnsi="Calibri" w:cs="Calibri"/>
                <w:color w:val="000000"/>
                <w:sz w:val="20"/>
                <w:szCs w:val="20"/>
                <w:lang w:val="en-US" w:eastAsia="nl-BE"/>
              </w:rPr>
              <w:t>Democracy</w:t>
            </w:r>
            <w:r w:rsidRPr="00A219F1">
              <w:rPr>
                <w:rFonts w:ascii="Calibri" w:eastAsia="Times New Roman" w:hAnsi="Calibri" w:cs="Calibri"/>
                <w:color w:val="000000"/>
                <w:sz w:val="20"/>
                <w:szCs w:val="20"/>
                <w:lang w:val="en-US" w:eastAsia="nl-BE"/>
              </w:rPr>
              <w:t xml:space="preserve">, Consultation, </w:t>
            </w:r>
            <w:r w:rsidR="00A219F1" w:rsidRPr="00A219F1">
              <w:rPr>
                <w:rFonts w:ascii="Calibri" w:eastAsia="Times New Roman" w:hAnsi="Calibri" w:cs="Calibri"/>
                <w:color w:val="000000"/>
                <w:sz w:val="20"/>
                <w:szCs w:val="20"/>
                <w:lang w:val="en-US" w:eastAsia="nl-BE"/>
              </w:rPr>
              <w:t>Neighborhood</w:t>
            </w:r>
            <w:r w:rsidRPr="00A219F1">
              <w:rPr>
                <w:rFonts w:ascii="Calibri" w:eastAsia="Times New Roman" w:hAnsi="Calibri" w:cs="Calibri"/>
                <w:color w:val="000000"/>
                <w:sz w:val="20"/>
                <w:szCs w:val="20"/>
                <w:lang w:val="en-US" w:eastAsia="nl-BE"/>
              </w:rPr>
              <w:t xml:space="preserve"> councils, Advisory boards</w:t>
            </w:r>
          </w:p>
        </w:tc>
      </w:tr>
      <w:tr w:rsidR="00881F68" w:rsidRPr="008663A3" w14:paraId="0C417B72" w14:textId="77777777" w:rsidTr="005B5D82">
        <w:trPr>
          <w:trHeight w:val="300"/>
        </w:trPr>
        <w:tc>
          <w:tcPr>
            <w:tcW w:w="395" w:type="dxa"/>
            <w:tcBorders>
              <w:top w:val="nil"/>
              <w:left w:val="single" w:sz="4" w:space="0" w:color="auto"/>
              <w:bottom w:val="single" w:sz="4" w:space="0" w:color="auto"/>
              <w:right w:val="single" w:sz="4" w:space="0" w:color="auto"/>
            </w:tcBorders>
          </w:tcPr>
          <w:p w14:paraId="2BB4878D"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8</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47C0EEC2"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Family and child care</w:t>
            </w:r>
          </w:p>
        </w:tc>
        <w:tc>
          <w:tcPr>
            <w:tcW w:w="5766" w:type="dxa"/>
            <w:tcBorders>
              <w:top w:val="nil"/>
              <w:left w:val="nil"/>
              <w:bottom w:val="single" w:sz="4" w:space="0" w:color="auto"/>
              <w:right w:val="single" w:sz="4" w:space="0" w:color="auto"/>
            </w:tcBorders>
            <w:shd w:val="clear" w:color="auto" w:fill="auto"/>
            <w:vAlign w:val="bottom"/>
            <w:hideMark/>
          </w:tcPr>
          <w:p w14:paraId="4F946DB4" w14:textId="3F6FCF30"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Day </w:t>
            </w:r>
            <w:r w:rsidR="00A219F1" w:rsidRPr="00A219F1">
              <w:rPr>
                <w:rFonts w:ascii="Calibri" w:eastAsia="Times New Roman" w:hAnsi="Calibri" w:cs="Calibri"/>
                <w:color w:val="000000"/>
                <w:sz w:val="20"/>
                <w:szCs w:val="20"/>
                <w:lang w:val="en-US" w:eastAsia="nl-BE"/>
              </w:rPr>
              <w:t>care</w:t>
            </w:r>
            <w:r w:rsidRPr="00A219F1">
              <w:rPr>
                <w:rFonts w:ascii="Calibri" w:eastAsia="Times New Roman" w:hAnsi="Calibri" w:cs="Calibri"/>
                <w:color w:val="000000"/>
                <w:sz w:val="20"/>
                <w:szCs w:val="20"/>
                <w:lang w:val="en-US" w:eastAsia="nl-BE"/>
              </w:rPr>
              <w:t>, Family policy, Playgrounds, Parental education, Combination of child and family, Youth associations</w:t>
            </w:r>
          </w:p>
        </w:tc>
      </w:tr>
      <w:tr w:rsidR="00881F68" w:rsidRPr="008663A3" w14:paraId="62B42FC5" w14:textId="77777777" w:rsidTr="005B5D82">
        <w:trPr>
          <w:trHeight w:val="300"/>
        </w:trPr>
        <w:tc>
          <w:tcPr>
            <w:tcW w:w="395" w:type="dxa"/>
            <w:tcBorders>
              <w:top w:val="nil"/>
              <w:left w:val="single" w:sz="4" w:space="0" w:color="auto"/>
              <w:bottom w:val="single" w:sz="4" w:space="0" w:color="auto"/>
              <w:right w:val="single" w:sz="4" w:space="0" w:color="auto"/>
            </w:tcBorders>
          </w:tcPr>
          <w:p w14:paraId="47296ADA"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9</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1AF50E01"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Local economy</w:t>
            </w:r>
          </w:p>
        </w:tc>
        <w:tc>
          <w:tcPr>
            <w:tcW w:w="5766" w:type="dxa"/>
            <w:tcBorders>
              <w:top w:val="nil"/>
              <w:left w:val="nil"/>
              <w:bottom w:val="single" w:sz="4" w:space="0" w:color="auto"/>
              <w:right w:val="single" w:sz="4" w:space="0" w:color="auto"/>
            </w:tcBorders>
            <w:shd w:val="clear" w:color="auto" w:fill="auto"/>
            <w:vAlign w:val="bottom"/>
            <w:hideMark/>
          </w:tcPr>
          <w:p w14:paraId="462709EA"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Self-employment, Local enterprises, Employment, Hotel and catering, Industry </w:t>
            </w:r>
          </w:p>
        </w:tc>
      </w:tr>
      <w:tr w:rsidR="00881F68" w:rsidRPr="008663A3" w14:paraId="6DAED67D" w14:textId="77777777" w:rsidTr="005B5D82">
        <w:trPr>
          <w:trHeight w:val="525"/>
        </w:trPr>
        <w:tc>
          <w:tcPr>
            <w:tcW w:w="395" w:type="dxa"/>
            <w:tcBorders>
              <w:top w:val="nil"/>
              <w:left w:val="single" w:sz="4" w:space="0" w:color="auto"/>
              <w:bottom w:val="single" w:sz="4" w:space="0" w:color="auto"/>
              <w:right w:val="single" w:sz="4" w:space="0" w:color="auto"/>
            </w:tcBorders>
          </w:tcPr>
          <w:p w14:paraId="359989A2"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10</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5E41E95C"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Environment</w:t>
            </w:r>
          </w:p>
        </w:tc>
        <w:tc>
          <w:tcPr>
            <w:tcW w:w="5766" w:type="dxa"/>
            <w:tcBorders>
              <w:top w:val="nil"/>
              <w:left w:val="nil"/>
              <w:bottom w:val="single" w:sz="4" w:space="0" w:color="auto"/>
              <w:right w:val="single" w:sz="4" w:space="0" w:color="auto"/>
            </w:tcBorders>
            <w:shd w:val="clear" w:color="auto" w:fill="auto"/>
            <w:vAlign w:val="bottom"/>
            <w:hideMark/>
          </w:tcPr>
          <w:p w14:paraId="21A262A3" w14:textId="4E75B86D"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Parks, Energy, Waste, Sewers, Animal care, Agriculture, Countryside </w:t>
            </w:r>
            <w:r w:rsidR="00A219F1" w:rsidRPr="00A219F1">
              <w:rPr>
                <w:rFonts w:ascii="Calibri" w:eastAsia="Times New Roman" w:hAnsi="Calibri" w:cs="Calibri"/>
                <w:color w:val="000000"/>
                <w:sz w:val="20"/>
                <w:szCs w:val="20"/>
                <w:lang w:val="en-US" w:eastAsia="nl-BE"/>
              </w:rPr>
              <w:t>development</w:t>
            </w:r>
            <w:r w:rsidRPr="00A219F1">
              <w:rPr>
                <w:rFonts w:ascii="Calibri" w:eastAsia="Times New Roman" w:hAnsi="Calibri" w:cs="Calibri"/>
                <w:color w:val="000000"/>
                <w:sz w:val="20"/>
                <w:szCs w:val="20"/>
                <w:lang w:val="en-US" w:eastAsia="nl-BE"/>
              </w:rPr>
              <w:t>, Horticulture, Flooding areas, Water policy</w:t>
            </w:r>
          </w:p>
        </w:tc>
      </w:tr>
      <w:tr w:rsidR="00881F68" w:rsidRPr="008663A3" w14:paraId="491677FE" w14:textId="77777777" w:rsidTr="005B5D82">
        <w:trPr>
          <w:trHeight w:val="300"/>
        </w:trPr>
        <w:tc>
          <w:tcPr>
            <w:tcW w:w="395" w:type="dxa"/>
            <w:tcBorders>
              <w:top w:val="nil"/>
              <w:left w:val="single" w:sz="4" w:space="0" w:color="auto"/>
              <w:bottom w:val="single" w:sz="4" w:space="0" w:color="auto"/>
              <w:right w:val="single" w:sz="4" w:space="0" w:color="auto"/>
            </w:tcBorders>
          </w:tcPr>
          <w:p w14:paraId="676759FE"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11</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02F4445D"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Education</w:t>
            </w:r>
          </w:p>
        </w:tc>
        <w:tc>
          <w:tcPr>
            <w:tcW w:w="5766" w:type="dxa"/>
            <w:tcBorders>
              <w:top w:val="nil"/>
              <w:left w:val="nil"/>
              <w:bottom w:val="single" w:sz="4" w:space="0" w:color="auto"/>
              <w:right w:val="single" w:sz="4" w:space="0" w:color="auto"/>
            </w:tcBorders>
            <w:shd w:val="clear" w:color="auto" w:fill="auto"/>
            <w:vAlign w:val="bottom"/>
            <w:hideMark/>
          </w:tcPr>
          <w:p w14:paraId="6FEF4427" w14:textId="77777777" w:rsidR="00881F68" w:rsidRPr="00A219F1" w:rsidRDefault="00881F68" w:rsidP="00BF59AC">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General provision of education, Univers</w:t>
            </w:r>
            <w:r w:rsidR="00BF59AC" w:rsidRPr="00A219F1">
              <w:rPr>
                <w:rFonts w:ascii="Calibri" w:eastAsia="Times New Roman" w:hAnsi="Calibri" w:cs="Calibri"/>
                <w:color w:val="000000"/>
                <w:sz w:val="20"/>
                <w:szCs w:val="20"/>
                <w:lang w:val="en-US" w:eastAsia="nl-BE"/>
              </w:rPr>
              <w:t>i</w:t>
            </w:r>
            <w:r w:rsidRPr="00A219F1">
              <w:rPr>
                <w:rFonts w:ascii="Calibri" w:eastAsia="Times New Roman" w:hAnsi="Calibri" w:cs="Calibri"/>
                <w:color w:val="000000"/>
                <w:sz w:val="20"/>
                <w:szCs w:val="20"/>
                <w:lang w:val="en-US" w:eastAsia="nl-BE"/>
              </w:rPr>
              <w:t>ties, Internships, Local art schools, Evening education</w:t>
            </w:r>
          </w:p>
        </w:tc>
      </w:tr>
      <w:tr w:rsidR="00881F68" w:rsidRPr="008663A3" w14:paraId="6B367B23" w14:textId="77777777" w:rsidTr="005B5D82">
        <w:trPr>
          <w:trHeight w:val="300"/>
        </w:trPr>
        <w:tc>
          <w:tcPr>
            <w:tcW w:w="395" w:type="dxa"/>
            <w:tcBorders>
              <w:top w:val="nil"/>
              <w:left w:val="single" w:sz="4" w:space="0" w:color="auto"/>
              <w:bottom w:val="single" w:sz="4" w:space="0" w:color="auto"/>
              <w:right w:val="single" w:sz="4" w:space="0" w:color="auto"/>
            </w:tcBorders>
          </w:tcPr>
          <w:p w14:paraId="7E06245C"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12</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4CADDC80"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Elderly care</w:t>
            </w:r>
          </w:p>
        </w:tc>
        <w:tc>
          <w:tcPr>
            <w:tcW w:w="5766" w:type="dxa"/>
            <w:tcBorders>
              <w:top w:val="nil"/>
              <w:left w:val="nil"/>
              <w:bottom w:val="single" w:sz="4" w:space="0" w:color="auto"/>
              <w:right w:val="single" w:sz="4" w:space="0" w:color="auto"/>
            </w:tcBorders>
            <w:shd w:val="clear" w:color="auto" w:fill="auto"/>
            <w:vAlign w:val="bottom"/>
            <w:hideMark/>
          </w:tcPr>
          <w:p w14:paraId="44F0F6BD" w14:textId="15110433"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Housing designed for seniors, Service </w:t>
            </w:r>
            <w:r w:rsidR="00A219F1" w:rsidRPr="00A219F1">
              <w:rPr>
                <w:rFonts w:ascii="Calibri" w:eastAsia="Times New Roman" w:hAnsi="Calibri" w:cs="Calibri"/>
                <w:color w:val="000000"/>
                <w:sz w:val="20"/>
                <w:szCs w:val="20"/>
                <w:lang w:val="en-US" w:eastAsia="nl-BE"/>
              </w:rPr>
              <w:t>apartments</w:t>
            </w:r>
            <w:r w:rsidRPr="00A219F1">
              <w:rPr>
                <w:rFonts w:ascii="Calibri" w:eastAsia="Times New Roman" w:hAnsi="Calibri" w:cs="Calibri"/>
                <w:color w:val="000000"/>
                <w:sz w:val="20"/>
                <w:szCs w:val="20"/>
                <w:lang w:val="en-US" w:eastAsia="nl-BE"/>
              </w:rPr>
              <w:t>, Retiring homes</w:t>
            </w:r>
          </w:p>
        </w:tc>
      </w:tr>
      <w:tr w:rsidR="00881F68" w:rsidRPr="008663A3" w14:paraId="490ED472" w14:textId="77777777" w:rsidTr="005B5D82">
        <w:trPr>
          <w:trHeight w:val="525"/>
        </w:trPr>
        <w:tc>
          <w:tcPr>
            <w:tcW w:w="395" w:type="dxa"/>
            <w:tcBorders>
              <w:top w:val="nil"/>
              <w:left w:val="single" w:sz="4" w:space="0" w:color="auto"/>
              <w:bottom w:val="single" w:sz="4" w:space="0" w:color="auto"/>
              <w:right w:val="single" w:sz="4" w:space="0" w:color="auto"/>
            </w:tcBorders>
          </w:tcPr>
          <w:p w14:paraId="241EDCB0"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13</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4F04FFDD"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Political management</w:t>
            </w:r>
          </w:p>
        </w:tc>
        <w:tc>
          <w:tcPr>
            <w:tcW w:w="5766" w:type="dxa"/>
            <w:tcBorders>
              <w:top w:val="nil"/>
              <w:left w:val="nil"/>
              <w:bottom w:val="single" w:sz="4" w:space="0" w:color="auto"/>
              <w:right w:val="single" w:sz="4" w:space="0" w:color="auto"/>
            </w:tcBorders>
            <w:shd w:val="clear" w:color="auto" w:fill="auto"/>
            <w:vAlign w:val="bottom"/>
            <w:hideMark/>
          </w:tcPr>
          <w:p w14:paraId="0DD89668" w14:textId="03CE6DE8"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Local government, Policy preparation, </w:t>
            </w:r>
            <w:r w:rsidR="00A219F1" w:rsidRPr="00A219F1">
              <w:rPr>
                <w:rFonts w:ascii="Calibri" w:eastAsia="Times New Roman" w:hAnsi="Calibri" w:cs="Calibri"/>
                <w:color w:val="000000"/>
                <w:sz w:val="20"/>
                <w:szCs w:val="20"/>
                <w:lang w:val="en-US" w:eastAsia="nl-BE"/>
              </w:rPr>
              <w:t>cooperation</w:t>
            </w:r>
            <w:r w:rsidRPr="00A219F1">
              <w:rPr>
                <w:rFonts w:ascii="Calibri" w:eastAsia="Times New Roman" w:hAnsi="Calibri" w:cs="Calibri"/>
                <w:color w:val="000000"/>
                <w:sz w:val="20"/>
                <w:szCs w:val="20"/>
                <w:lang w:val="en-US" w:eastAsia="nl-BE"/>
              </w:rPr>
              <w:t xml:space="preserve"> and </w:t>
            </w:r>
            <w:r w:rsidR="00A219F1" w:rsidRPr="00A219F1">
              <w:rPr>
                <w:rFonts w:ascii="Calibri" w:eastAsia="Times New Roman" w:hAnsi="Calibri" w:cs="Calibri"/>
                <w:color w:val="000000"/>
                <w:sz w:val="20"/>
                <w:szCs w:val="20"/>
                <w:lang w:val="en-US" w:eastAsia="nl-BE"/>
              </w:rPr>
              <w:t>coordination</w:t>
            </w:r>
            <w:r w:rsidRPr="00A219F1">
              <w:rPr>
                <w:rFonts w:ascii="Calibri" w:eastAsia="Times New Roman" w:hAnsi="Calibri" w:cs="Calibri"/>
                <w:color w:val="000000"/>
                <w:sz w:val="20"/>
                <w:szCs w:val="20"/>
                <w:lang w:val="en-US" w:eastAsia="nl-BE"/>
              </w:rPr>
              <w:t xml:space="preserve">, Management function, Executive board, Inter-municipal </w:t>
            </w:r>
            <w:r w:rsidR="00A219F1" w:rsidRPr="00A219F1">
              <w:rPr>
                <w:rFonts w:ascii="Calibri" w:eastAsia="Times New Roman" w:hAnsi="Calibri" w:cs="Calibri"/>
                <w:color w:val="000000"/>
                <w:sz w:val="20"/>
                <w:szCs w:val="20"/>
                <w:lang w:val="en-US" w:eastAsia="nl-BE"/>
              </w:rPr>
              <w:t>cooperation</w:t>
            </w:r>
            <w:r w:rsidRPr="00A219F1">
              <w:rPr>
                <w:rFonts w:ascii="Calibri" w:eastAsia="Times New Roman" w:hAnsi="Calibri" w:cs="Calibri"/>
                <w:color w:val="000000"/>
                <w:sz w:val="20"/>
                <w:szCs w:val="20"/>
                <w:lang w:val="en-US" w:eastAsia="nl-BE"/>
              </w:rPr>
              <w:t>, Local council</w:t>
            </w:r>
          </w:p>
        </w:tc>
      </w:tr>
      <w:tr w:rsidR="00881F68" w:rsidRPr="008663A3" w14:paraId="7F649A85" w14:textId="77777777" w:rsidTr="005B5D82">
        <w:trPr>
          <w:trHeight w:val="300"/>
        </w:trPr>
        <w:tc>
          <w:tcPr>
            <w:tcW w:w="395" w:type="dxa"/>
            <w:tcBorders>
              <w:top w:val="nil"/>
              <w:left w:val="single" w:sz="4" w:space="0" w:color="auto"/>
              <w:bottom w:val="single" w:sz="4" w:space="0" w:color="auto"/>
              <w:right w:val="single" w:sz="4" w:space="0" w:color="auto"/>
            </w:tcBorders>
          </w:tcPr>
          <w:p w14:paraId="58F8E9E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14</w:t>
            </w:r>
          </w:p>
        </w:tc>
        <w:tc>
          <w:tcPr>
            <w:tcW w:w="2314" w:type="dxa"/>
            <w:tcBorders>
              <w:top w:val="nil"/>
              <w:left w:val="single" w:sz="4" w:space="0" w:color="auto"/>
              <w:bottom w:val="single" w:sz="4" w:space="0" w:color="auto"/>
              <w:right w:val="single" w:sz="4" w:space="0" w:color="auto"/>
            </w:tcBorders>
            <w:shd w:val="clear" w:color="auto" w:fill="auto"/>
            <w:vAlign w:val="bottom"/>
            <w:hideMark/>
          </w:tcPr>
          <w:p w14:paraId="6031867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Environmental planning</w:t>
            </w:r>
          </w:p>
        </w:tc>
        <w:tc>
          <w:tcPr>
            <w:tcW w:w="5766" w:type="dxa"/>
            <w:tcBorders>
              <w:top w:val="nil"/>
              <w:left w:val="nil"/>
              <w:bottom w:val="single" w:sz="4" w:space="0" w:color="auto"/>
              <w:right w:val="single" w:sz="4" w:space="0" w:color="auto"/>
            </w:tcBorders>
            <w:shd w:val="clear" w:color="auto" w:fill="auto"/>
            <w:vAlign w:val="bottom"/>
            <w:hideMark/>
          </w:tcPr>
          <w:p w14:paraId="66FFD39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Public maintenance, Public areas, City or town planning, Infrastructure, Public domain</w:t>
            </w:r>
          </w:p>
        </w:tc>
      </w:tr>
      <w:tr w:rsidR="00881F68" w:rsidRPr="008663A3" w14:paraId="38D29522" w14:textId="77777777" w:rsidTr="005B5D82">
        <w:trPr>
          <w:trHeight w:val="525"/>
        </w:trPr>
        <w:tc>
          <w:tcPr>
            <w:tcW w:w="395" w:type="dxa"/>
            <w:tcBorders>
              <w:top w:val="nil"/>
              <w:left w:val="single" w:sz="4" w:space="0" w:color="auto"/>
              <w:bottom w:val="single" w:sz="4" w:space="0" w:color="auto"/>
              <w:right w:val="single" w:sz="4" w:space="0" w:color="auto"/>
            </w:tcBorders>
          </w:tcPr>
          <w:p w14:paraId="5188E4A4"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15</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0BB83907"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Social policy </w:t>
            </w:r>
          </w:p>
        </w:tc>
        <w:tc>
          <w:tcPr>
            <w:tcW w:w="5766" w:type="dxa"/>
            <w:tcBorders>
              <w:top w:val="nil"/>
              <w:left w:val="nil"/>
              <w:bottom w:val="single" w:sz="4" w:space="0" w:color="auto"/>
              <w:right w:val="single" w:sz="4" w:space="0" w:color="auto"/>
            </w:tcBorders>
            <w:shd w:val="clear" w:color="auto" w:fill="auto"/>
            <w:vAlign w:val="bottom"/>
            <w:hideMark/>
          </w:tcPr>
          <w:p w14:paraId="35708607"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Local social policy, Social welfare, Health policy, Volunteers, Social housing, Informal care, Personal debt mediation, Service vouchers, Social activation</w:t>
            </w:r>
          </w:p>
        </w:tc>
      </w:tr>
      <w:tr w:rsidR="00881F68" w:rsidRPr="008663A3" w14:paraId="6D7B6165" w14:textId="77777777" w:rsidTr="005B5D82">
        <w:trPr>
          <w:trHeight w:val="300"/>
        </w:trPr>
        <w:tc>
          <w:tcPr>
            <w:tcW w:w="395" w:type="dxa"/>
            <w:tcBorders>
              <w:top w:val="nil"/>
              <w:left w:val="single" w:sz="4" w:space="0" w:color="auto"/>
              <w:bottom w:val="single" w:sz="4" w:space="0" w:color="auto"/>
              <w:right w:val="single" w:sz="4" w:space="0" w:color="auto"/>
            </w:tcBorders>
          </w:tcPr>
          <w:p w14:paraId="01B003FC"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16</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58958AB9"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Sports</w:t>
            </w:r>
          </w:p>
        </w:tc>
        <w:tc>
          <w:tcPr>
            <w:tcW w:w="5766" w:type="dxa"/>
            <w:tcBorders>
              <w:top w:val="nil"/>
              <w:left w:val="nil"/>
              <w:bottom w:val="single" w:sz="4" w:space="0" w:color="auto"/>
              <w:right w:val="single" w:sz="4" w:space="0" w:color="auto"/>
            </w:tcBorders>
            <w:shd w:val="clear" w:color="auto" w:fill="auto"/>
            <w:vAlign w:val="bottom"/>
            <w:hideMark/>
          </w:tcPr>
          <w:p w14:paraId="7BF7D38A"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Sports areas, Stadium, Swimming pools</w:t>
            </w:r>
          </w:p>
        </w:tc>
      </w:tr>
      <w:tr w:rsidR="00881F68" w:rsidRPr="008663A3" w14:paraId="20887036" w14:textId="77777777" w:rsidTr="005B5D82">
        <w:trPr>
          <w:trHeight w:val="300"/>
        </w:trPr>
        <w:tc>
          <w:tcPr>
            <w:tcW w:w="395" w:type="dxa"/>
            <w:tcBorders>
              <w:top w:val="nil"/>
              <w:left w:val="single" w:sz="4" w:space="0" w:color="auto"/>
              <w:bottom w:val="single" w:sz="4" w:space="0" w:color="auto"/>
              <w:right w:val="single" w:sz="4" w:space="0" w:color="auto"/>
            </w:tcBorders>
          </w:tcPr>
          <w:p w14:paraId="31546118"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17</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0D1DA3DF"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Safety</w:t>
            </w:r>
          </w:p>
        </w:tc>
        <w:tc>
          <w:tcPr>
            <w:tcW w:w="5766" w:type="dxa"/>
            <w:tcBorders>
              <w:top w:val="nil"/>
              <w:left w:val="nil"/>
              <w:bottom w:val="single" w:sz="4" w:space="0" w:color="auto"/>
              <w:right w:val="single" w:sz="4" w:space="0" w:color="auto"/>
            </w:tcBorders>
            <w:shd w:val="clear" w:color="auto" w:fill="auto"/>
            <w:vAlign w:val="bottom"/>
            <w:hideMark/>
          </w:tcPr>
          <w:p w14:paraId="452466CC" w14:textId="3C03A6A4"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Police, Fire corps, Criminality, Supervision and penalization of </w:t>
            </w:r>
            <w:r w:rsidR="00A219F1" w:rsidRPr="00A219F1">
              <w:rPr>
                <w:rFonts w:ascii="Calibri" w:eastAsia="Times New Roman" w:hAnsi="Calibri" w:cs="Calibri"/>
                <w:color w:val="000000"/>
                <w:sz w:val="20"/>
                <w:szCs w:val="20"/>
                <w:lang w:val="en-US" w:eastAsia="nl-BE"/>
              </w:rPr>
              <w:t>fraud</w:t>
            </w:r>
            <w:r w:rsidRPr="00A219F1">
              <w:rPr>
                <w:rFonts w:ascii="Calibri" w:eastAsia="Times New Roman" w:hAnsi="Calibri" w:cs="Calibri"/>
                <w:color w:val="000000"/>
                <w:sz w:val="20"/>
                <w:szCs w:val="20"/>
                <w:lang w:val="en-US" w:eastAsia="nl-BE"/>
              </w:rPr>
              <w:t>, Drugs, Local sanctions (GAS, BIN)</w:t>
            </w:r>
          </w:p>
        </w:tc>
      </w:tr>
      <w:tr w:rsidR="00881F68" w:rsidRPr="008663A3" w14:paraId="3B03451E" w14:textId="77777777" w:rsidTr="005B5D82">
        <w:trPr>
          <w:trHeight w:val="300"/>
        </w:trPr>
        <w:tc>
          <w:tcPr>
            <w:tcW w:w="395" w:type="dxa"/>
            <w:tcBorders>
              <w:top w:val="nil"/>
              <w:left w:val="single" w:sz="4" w:space="0" w:color="auto"/>
              <w:bottom w:val="single" w:sz="4" w:space="0" w:color="auto"/>
              <w:right w:val="single" w:sz="4" w:space="0" w:color="auto"/>
            </w:tcBorders>
          </w:tcPr>
          <w:p w14:paraId="2D4581C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18</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5E8FEDE1"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Traffic and mobility </w:t>
            </w:r>
          </w:p>
        </w:tc>
        <w:tc>
          <w:tcPr>
            <w:tcW w:w="5766" w:type="dxa"/>
            <w:tcBorders>
              <w:top w:val="nil"/>
              <w:left w:val="nil"/>
              <w:bottom w:val="single" w:sz="4" w:space="0" w:color="auto"/>
              <w:right w:val="single" w:sz="4" w:space="0" w:color="auto"/>
            </w:tcBorders>
            <w:shd w:val="clear" w:color="auto" w:fill="auto"/>
            <w:vAlign w:val="bottom"/>
            <w:hideMark/>
          </w:tcPr>
          <w:p w14:paraId="52A5BAFC"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Road safety, Parking zones, Public transport, Cyclists and pedestrians, Traffic jams </w:t>
            </w:r>
          </w:p>
        </w:tc>
      </w:tr>
      <w:tr w:rsidR="00881F68" w:rsidRPr="008663A3" w14:paraId="7E12CC87" w14:textId="77777777" w:rsidTr="005B5D82">
        <w:trPr>
          <w:trHeight w:val="300"/>
        </w:trPr>
        <w:tc>
          <w:tcPr>
            <w:tcW w:w="395" w:type="dxa"/>
            <w:tcBorders>
              <w:top w:val="nil"/>
              <w:left w:val="single" w:sz="4" w:space="0" w:color="auto"/>
              <w:bottom w:val="single" w:sz="4" w:space="0" w:color="auto"/>
              <w:right w:val="single" w:sz="4" w:space="0" w:color="auto"/>
            </w:tcBorders>
          </w:tcPr>
          <w:p w14:paraId="077F5523"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19</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14:paraId="3AF1CCE6" w14:textId="77777777"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Housing policy </w:t>
            </w:r>
          </w:p>
        </w:tc>
        <w:tc>
          <w:tcPr>
            <w:tcW w:w="5766" w:type="dxa"/>
            <w:tcBorders>
              <w:top w:val="nil"/>
              <w:left w:val="nil"/>
              <w:bottom w:val="single" w:sz="4" w:space="0" w:color="auto"/>
              <w:right w:val="single" w:sz="4" w:space="0" w:color="auto"/>
            </w:tcBorders>
            <w:shd w:val="clear" w:color="auto" w:fill="auto"/>
            <w:vAlign w:val="bottom"/>
            <w:hideMark/>
          </w:tcPr>
          <w:p w14:paraId="694E5B55" w14:textId="32515265" w:rsidR="00881F68" w:rsidRPr="00A219F1" w:rsidRDefault="00881F68" w:rsidP="00881F68">
            <w:pPr>
              <w:spacing w:after="0" w:line="240" w:lineRule="auto"/>
              <w:rPr>
                <w:rFonts w:ascii="Calibri" w:eastAsia="Times New Roman" w:hAnsi="Calibri" w:cs="Calibri"/>
                <w:color w:val="000000"/>
                <w:sz w:val="20"/>
                <w:szCs w:val="20"/>
                <w:lang w:val="en-US" w:eastAsia="nl-BE"/>
              </w:rPr>
            </w:pPr>
            <w:r w:rsidRPr="00A219F1">
              <w:rPr>
                <w:rFonts w:ascii="Calibri" w:eastAsia="Times New Roman" w:hAnsi="Calibri" w:cs="Calibri"/>
                <w:color w:val="000000"/>
                <w:sz w:val="20"/>
                <w:szCs w:val="20"/>
                <w:lang w:val="en-US" w:eastAsia="nl-BE"/>
              </w:rPr>
              <w:t xml:space="preserve">Housing policy, Housing </w:t>
            </w:r>
            <w:r w:rsidR="00A219F1" w:rsidRPr="00A219F1">
              <w:rPr>
                <w:rFonts w:ascii="Calibri" w:eastAsia="Times New Roman" w:hAnsi="Calibri" w:cs="Calibri"/>
                <w:color w:val="000000"/>
                <w:sz w:val="20"/>
                <w:szCs w:val="20"/>
                <w:lang w:val="en-US" w:eastAsia="nl-BE"/>
              </w:rPr>
              <w:t>fraud</w:t>
            </w:r>
            <w:r w:rsidRPr="00A219F1">
              <w:rPr>
                <w:rFonts w:ascii="Calibri" w:eastAsia="Times New Roman" w:hAnsi="Calibri" w:cs="Calibri"/>
                <w:color w:val="000000"/>
                <w:sz w:val="20"/>
                <w:szCs w:val="20"/>
                <w:lang w:val="en-US" w:eastAsia="nl-BE"/>
              </w:rPr>
              <w:t>, Community land trust, Private property</w:t>
            </w:r>
          </w:p>
        </w:tc>
      </w:tr>
    </w:tbl>
    <w:p w14:paraId="21D29D5B" w14:textId="77777777" w:rsidR="00940E7C" w:rsidRPr="00A219F1" w:rsidRDefault="00940E7C" w:rsidP="00940E7C">
      <w:pPr>
        <w:autoSpaceDE w:val="0"/>
        <w:autoSpaceDN w:val="0"/>
        <w:adjustRightInd w:val="0"/>
        <w:spacing w:after="0" w:line="240" w:lineRule="auto"/>
        <w:rPr>
          <w:lang w:val="en-US"/>
        </w:rPr>
      </w:pPr>
    </w:p>
    <w:p w14:paraId="2C4E9B86" w14:textId="77777777" w:rsidR="000A4884" w:rsidRDefault="000A4884" w:rsidP="00940E7C">
      <w:pPr>
        <w:autoSpaceDE w:val="0"/>
        <w:autoSpaceDN w:val="0"/>
        <w:adjustRightInd w:val="0"/>
        <w:spacing w:after="0" w:line="240" w:lineRule="auto"/>
        <w:rPr>
          <w:b/>
          <w:lang w:val="en-US"/>
        </w:rPr>
      </w:pPr>
      <w:r>
        <w:rPr>
          <w:b/>
          <w:lang w:val="en-US"/>
        </w:rPr>
        <w:br w:type="page"/>
      </w:r>
    </w:p>
    <w:p w14:paraId="26F64D7B" w14:textId="735538EE" w:rsidR="00940E7C" w:rsidRPr="002B546B" w:rsidRDefault="002B546B" w:rsidP="00940E7C">
      <w:pPr>
        <w:autoSpaceDE w:val="0"/>
        <w:autoSpaceDN w:val="0"/>
        <w:adjustRightInd w:val="0"/>
        <w:spacing w:after="0" w:line="240" w:lineRule="auto"/>
        <w:rPr>
          <w:b/>
          <w:lang w:val="en-US"/>
        </w:rPr>
      </w:pPr>
      <w:r w:rsidRPr="002B546B">
        <w:rPr>
          <w:b/>
          <w:lang w:val="en-US"/>
        </w:rPr>
        <w:lastRenderedPageBreak/>
        <w:t xml:space="preserve">Table 2:  </w:t>
      </w:r>
      <w:r w:rsidR="00940E7C" w:rsidRPr="002B546B">
        <w:rPr>
          <w:b/>
          <w:lang w:val="en-US"/>
        </w:rPr>
        <w:t>Correlation Matrix of Ideological Nationalization (RNS) and six Independent Variables</w:t>
      </w:r>
    </w:p>
    <w:p w14:paraId="5CEC0479" w14:textId="77777777" w:rsidR="002B546B" w:rsidRPr="0034434D" w:rsidRDefault="002B546B" w:rsidP="00940E7C">
      <w:pPr>
        <w:autoSpaceDE w:val="0"/>
        <w:autoSpaceDN w:val="0"/>
        <w:adjustRightInd w:val="0"/>
        <w:spacing w:after="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92"/>
        <w:gridCol w:w="1045"/>
        <w:gridCol w:w="1194"/>
        <w:gridCol w:w="1194"/>
        <w:gridCol w:w="1194"/>
        <w:gridCol w:w="1194"/>
      </w:tblGrid>
      <w:tr w:rsidR="00940E7C" w:rsidRPr="0034434D" w14:paraId="0FBF6D1C" w14:textId="77777777" w:rsidTr="00B34C2C">
        <w:trPr>
          <w:trHeight w:val="295"/>
        </w:trPr>
        <w:tc>
          <w:tcPr>
            <w:tcW w:w="2092" w:type="dxa"/>
            <w:tcBorders>
              <w:top w:val="single" w:sz="4" w:space="0" w:color="auto"/>
              <w:bottom w:val="single" w:sz="4" w:space="0" w:color="auto"/>
            </w:tcBorders>
            <w:noWrap/>
            <w:vAlign w:val="center"/>
            <w:hideMark/>
          </w:tcPr>
          <w:p w14:paraId="5207298B" w14:textId="77777777" w:rsidR="00940E7C" w:rsidRPr="0034434D" w:rsidRDefault="00940E7C" w:rsidP="00B34C2C">
            <w:pPr>
              <w:autoSpaceDE w:val="0"/>
              <w:autoSpaceDN w:val="0"/>
              <w:adjustRightInd w:val="0"/>
              <w:rPr>
                <w:lang w:val="en-US"/>
              </w:rPr>
            </w:pPr>
          </w:p>
        </w:tc>
        <w:tc>
          <w:tcPr>
            <w:tcW w:w="1045" w:type="dxa"/>
            <w:tcBorders>
              <w:top w:val="single" w:sz="4" w:space="0" w:color="auto"/>
              <w:bottom w:val="single" w:sz="4" w:space="0" w:color="auto"/>
            </w:tcBorders>
            <w:noWrap/>
            <w:vAlign w:val="center"/>
            <w:hideMark/>
          </w:tcPr>
          <w:p w14:paraId="77D1ACBC" w14:textId="77777777" w:rsidR="00940E7C" w:rsidRPr="0034434D" w:rsidRDefault="00940E7C" w:rsidP="00B34C2C">
            <w:pPr>
              <w:autoSpaceDE w:val="0"/>
              <w:autoSpaceDN w:val="0"/>
              <w:adjustRightInd w:val="0"/>
              <w:rPr>
                <w:lang w:val="en-US"/>
              </w:rPr>
            </w:pPr>
            <w:r w:rsidRPr="0034434D">
              <w:rPr>
                <w:lang w:val="en-US"/>
              </w:rPr>
              <w:t>1</w:t>
            </w:r>
          </w:p>
        </w:tc>
        <w:tc>
          <w:tcPr>
            <w:tcW w:w="1194" w:type="dxa"/>
            <w:tcBorders>
              <w:top w:val="single" w:sz="4" w:space="0" w:color="auto"/>
              <w:bottom w:val="single" w:sz="4" w:space="0" w:color="auto"/>
            </w:tcBorders>
            <w:noWrap/>
            <w:vAlign w:val="center"/>
            <w:hideMark/>
          </w:tcPr>
          <w:p w14:paraId="41DC9013" w14:textId="77777777" w:rsidR="00940E7C" w:rsidRPr="0034434D" w:rsidRDefault="00940E7C" w:rsidP="00B34C2C">
            <w:pPr>
              <w:autoSpaceDE w:val="0"/>
              <w:autoSpaceDN w:val="0"/>
              <w:adjustRightInd w:val="0"/>
              <w:rPr>
                <w:lang w:val="en-US"/>
              </w:rPr>
            </w:pPr>
            <w:r w:rsidRPr="0034434D">
              <w:rPr>
                <w:lang w:val="en-US"/>
              </w:rPr>
              <w:t>2</w:t>
            </w:r>
          </w:p>
        </w:tc>
        <w:tc>
          <w:tcPr>
            <w:tcW w:w="1194" w:type="dxa"/>
            <w:tcBorders>
              <w:top w:val="single" w:sz="4" w:space="0" w:color="auto"/>
              <w:bottom w:val="single" w:sz="4" w:space="0" w:color="auto"/>
            </w:tcBorders>
            <w:noWrap/>
            <w:vAlign w:val="center"/>
            <w:hideMark/>
          </w:tcPr>
          <w:p w14:paraId="458FF268" w14:textId="77777777" w:rsidR="00940E7C" w:rsidRPr="0034434D" w:rsidRDefault="00940E7C" w:rsidP="00B34C2C">
            <w:pPr>
              <w:autoSpaceDE w:val="0"/>
              <w:autoSpaceDN w:val="0"/>
              <w:adjustRightInd w:val="0"/>
              <w:rPr>
                <w:lang w:val="en-US"/>
              </w:rPr>
            </w:pPr>
            <w:r w:rsidRPr="0034434D">
              <w:rPr>
                <w:lang w:val="en-US"/>
              </w:rPr>
              <w:t>3</w:t>
            </w:r>
          </w:p>
        </w:tc>
        <w:tc>
          <w:tcPr>
            <w:tcW w:w="1194" w:type="dxa"/>
            <w:tcBorders>
              <w:top w:val="single" w:sz="4" w:space="0" w:color="auto"/>
              <w:bottom w:val="single" w:sz="4" w:space="0" w:color="auto"/>
            </w:tcBorders>
            <w:noWrap/>
            <w:vAlign w:val="center"/>
            <w:hideMark/>
          </w:tcPr>
          <w:p w14:paraId="3E5360E4" w14:textId="77777777" w:rsidR="00940E7C" w:rsidRPr="0034434D" w:rsidRDefault="00940E7C" w:rsidP="00B34C2C">
            <w:pPr>
              <w:autoSpaceDE w:val="0"/>
              <w:autoSpaceDN w:val="0"/>
              <w:adjustRightInd w:val="0"/>
              <w:rPr>
                <w:lang w:val="en-US"/>
              </w:rPr>
            </w:pPr>
            <w:r>
              <w:rPr>
                <w:lang w:val="en-US"/>
              </w:rPr>
              <w:t>4</w:t>
            </w:r>
          </w:p>
        </w:tc>
        <w:tc>
          <w:tcPr>
            <w:tcW w:w="1194" w:type="dxa"/>
            <w:tcBorders>
              <w:top w:val="single" w:sz="4" w:space="0" w:color="auto"/>
              <w:bottom w:val="single" w:sz="4" w:space="0" w:color="auto"/>
            </w:tcBorders>
            <w:noWrap/>
            <w:vAlign w:val="center"/>
            <w:hideMark/>
          </w:tcPr>
          <w:p w14:paraId="1FB8CDE4" w14:textId="77777777" w:rsidR="00940E7C" w:rsidRPr="0034434D" w:rsidRDefault="00940E7C" w:rsidP="00B34C2C">
            <w:pPr>
              <w:autoSpaceDE w:val="0"/>
              <w:autoSpaceDN w:val="0"/>
              <w:adjustRightInd w:val="0"/>
              <w:rPr>
                <w:lang w:val="en-US"/>
              </w:rPr>
            </w:pPr>
            <w:r>
              <w:rPr>
                <w:lang w:val="en-US"/>
              </w:rPr>
              <w:t>5</w:t>
            </w:r>
          </w:p>
        </w:tc>
      </w:tr>
      <w:tr w:rsidR="00940E7C" w:rsidRPr="0034434D" w14:paraId="19F7B386" w14:textId="77777777" w:rsidTr="00B34C2C">
        <w:trPr>
          <w:trHeight w:val="295"/>
        </w:trPr>
        <w:tc>
          <w:tcPr>
            <w:tcW w:w="2092" w:type="dxa"/>
            <w:tcBorders>
              <w:top w:val="single" w:sz="4" w:space="0" w:color="auto"/>
            </w:tcBorders>
            <w:noWrap/>
            <w:vAlign w:val="center"/>
            <w:hideMark/>
          </w:tcPr>
          <w:p w14:paraId="3DC99760" w14:textId="77777777" w:rsidR="00940E7C" w:rsidRPr="0034434D" w:rsidRDefault="00940E7C" w:rsidP="00B34C2C">
            <w:pPr>
              <w:autoSpaceDE w:val="0"/>
              <w:autoSpaceDN w:val="0"/>
              <w:adjustRightInd w:val="0"/>
              <w:rPr>
                <w:lang w:val="en-US"/>
              </w:rPr>
            </w:pPr>
            <w:r w:rsidRPr="0034434D">
              <w:rPr>
                <w:lang w:val="en-US"/>
              </w:rPr>
              <w:t>RNS</w:t>
            </w:r>
          </w:p>
        </w:tc>
        <w:tc>
          <w:tcPr>
            <w:tcW w:w="1045" w:type="dxa"/>
            <w:tcBorders>
              <w:top w:val="single" w:sz="4" w:space="0" w:color="auto"/>
            </w:tcBorders>
            <w:noWrap/>
            <w:vAlign w:val="center"/>
            <w:hideMark/>
          </w:tcPr>
          <w:p w14:paraId="79C10D4C" w14:textId="77777777" w:rsidR="00940E7C" w:rsidRPr="0034434D" w:rsidRDefault="00940E7C" w:rsidP="00B34C2C">
            <w:pPr>
              <w:autoSpaceDE w:val="0"/>
              <w:autoSpaceDN w:val="0"/>
              <w:adjustRightInd w:val="0"/>
              <w:rPr>
                <w:lang w:val="en-US"/>
              </w:rPr>
            </w:pPr>
            <w:r w:rsidRPr="001A36A0">
              <w:rPr>
                <w:lang w:val="en-US"/>
              </w:rPr>
              <w:t>-</w:t>
            </w:r>
            <w:r>
              <w:rPr>
                <w:lang w:val="en-US"/>
              </w:rPr>
              <w:t>.</w:t>
            </w:r>
            <w:r w:rsidRPr="001A36A0">
              <w:rPr>
                <w:lang w:val="en-US"/>
              </w:rPr>
              <w:t>178*</w:t>
            </w:r>
          </w:p>
        </w:tc>
        <w:tc>
          <w:tcPr>
            <w:tcW w:w="1194" w:type="dxa"/>
            <w:tcBorders>
              <w:top w:val="single" w:sz="4" w:space="0" w:color="auto"/>
            </w:tcBorders>
            <w:noWrap/>
            <w:vAlign w:val="center"/>
            <w:hideMark/>
          </w:tcPr>
          <w:p w14:paraId="7E280B20" w14:textId="77777777" w:rsidR="00940E7C" w:rsidRPr="0034434D" w:rsidRDefault="00940E7C" w:rsidP="00B34C2C">
            <w:pPr>
              <w:autoSpaceDE w:val="0"/>
              <w:autoSpaceDN w:val="0"/>
              <w:adjustRightInd w:val="0"/>
              <w:rPr>
                <w:lang w:val="en-US"/>
              </w:rPr>
            </w:pPr>
            <w:r>
              <w:rPr>
                <w:lang w:val="en-US"/>
              </w:rPr>
              <w:t>.</w:t>
            </w:r>
            <w:r w:rsidRPr="001A36A0">
              <w:rPr>
                <w:lang w:val="en-US"/>
              </w:rPr>
              <w:t>128</w:t>
            </w:r>
          </w:p>
        </w:tc>
        <w:tc>
          <w:tcPr>
            <w:tcW w:w="1194" w:type="dxa"/>
            <w:tcBorders>
              <w:top w:val="single" w:sz="4" w:space="0" w:color="auto"/>
            </w:tcBorders>
            <w:noWrap/>
            <w:vAlign w:val="center"/>
            <w:hideMark/>
          </w:tcPr>
          <w:p w14:paraId="613FC7D4" w14:textId="77777777" w:rsidR="00940E7C" w:rsidRPr="0034434D" w:rsidRDefault="00940E7C" w:rsidP="00B34C2C">
            <w:pPr>
              <w:autoSpaceDE w:val="0"/>
              <w:autoSpaceDN w:val="0"/>
              <w:adjustRightInd w:val="0"/>
              <w:rPr>
                <w:lang w:val="en-US"/>
              </w:rPr>
            </w:pPr>
            <w:r>
              <w:rPr>
                <w:lang w:val="en-US"/>
              </w:rPr>
              <w:t>.</w:t>
            </w:r>
            <w:r w:rsidRPr="001A36A0">
              <w:rPr>
                <w:lang w:val="en-US"/>
              </w:rPr>
              <w:t>024</w:t>
            </w:r>
          </w:p>
        </w:tc>
        <w:tc>
          <w:tcPr>
            <w:tcW w:w="1194" w:type="dxa"/>
            <w:tcBorders>
              <w:top w:val="single" w:sz="4" w:space="0" w:color="auto"/>
            </w:tcBorders>
            <w:noWrap/>
            <w:vAlign w:val="center"/>
            <w:hideMark/>
          </w:tcPr>
          <w:p w14:paraId="66E1FDEF" w14:textId="77777777" w:rsidR="00940E7C" w:rsidRPr="0034434D" w:rsidRDefault="00940E7C" w:rsidP="00B34C2C">
            <w:pPr>
              <w:autoSpaceDE w:val="0"/>
              <w:autoSpaceDN w:val="0"/>
              <w:adjustRightInd w:val="0"/>
              <w:rPr>
                <w:lang w:val="en-US"/>
              </w:rPr>
            </w:pPr>
            <w:r>
              <w:rPr>
                <w:lang w:val="en-US"/>
              </w:rPr>
              <w:t>.</w:t>
            </w:r>
            <w:r w:rsidRPr="001A36A0">
              <w:rPr>
                <w:lang w:val="en-US"/>
              </w:rPr>
              <w:t>172</w:t>
            </w:r>
          </w:p>
        </w:tc>
        <w:tc>
          <w:tcPr>
            <w:tcW w:w="1194" w:type="dxa"/>
            <w:tcBorders>
              <w:top w:val="single" w:sz="4" w:space="0" w:color="auto"/>
            </w:tcBorders>
            <w:noWrap/>
            <w:vAlign w:val="center"/>
            <w:hideMark/>
          </w:tcPr>
          <w:p w14:paraId="06D7A593" w14:textId="77777777" w:rsidR="00940E7C" w:rsidRPr="0034434D" w:rsidRDefault="00940E7C" w:rsidP="00B34C2C">
            <w:pPr>
              <w:autoSpaceDE w:val="0"/>
              <w:autoSpaceDN w:val="0"/>
              <w:adjustRightInd w:val="0"/>
              <w:ind w:left="56"/>
              <w:rPr>
                <w:lang w:val="en-US"/>
              </w:rPr>
            </w:pPr>
            <w:r>
              <w:rPr>
                <w:lang w:val="en-US"/>
              </w:rPr>
              <w:t>.</w:t>
            </w:r>
            <w:r w:rsidRPr="001A36A0">
              <w:rPr>
                <w:lang w:val="en-US"/>
              </w:rPr>
              <w:t>108</w:t>
            </w:r>
          </w:p>
        </w:tc>
      </w:tr>
      <w:tr w:rsidR="00940E7C" w:rsidRPr="0034434D" w14:paraId="4B0A9C05" w14:textId="77777777" w:rsidTr="00B34C2C">
        <w:trPr>
          <w:trHeight w:val="295"/>
        </w:trPr>
        <w:tc>
          <w:tcPr>
            <w:tcW w:w="2092" w:type="dxa"/>
            <w:noWrap/>
            <w:vAlign w:val="center"/>
            <w:hideMark/>
          </w:tcPr>
          <w:p w14:paraId="4EAEDB38" w14:textId="77777777" w:rsidR="00940E7C" w:rsidRPr="0034434D" w:rsidRDefault="00940E7C" w:rsidP="00B34C2C">
            <w:pPr>
              <w:autoSpaceDE w:val="0"/>
              <w:autoSpaceDN w:val="0"/>
              <w:adjustRightInd w:val="0"/>
              <w:rPr>
                <w:lang w:val="en-US"/>
              </w:rPr>
            </w:pPr>
            <w:r w:rsidRPr="0034434D">
              <w:rPr>
                <w:lang w:val="en-US"/>
              </w:rPr>
              <w:t xml:space="preserve">1. </w:t>
            </w:r>
            <w:r>
              <w:rPr>
                <w:lang w:val="en-US"/>
              </w:rPr>
              <w:t>Right Party</w:t>
            </w:r>
          </w:p>
        </w:tc>
        <w:tc>
          <w:tcPr>
            <w:tcW w:w="1045" w:type="dxa"/>
            <w:noWrap/>
            <w:vAlign w:val="center"/>
            <w:hideMark/>
          </w:tcPr>
          <w:p w14:paraId="251CCE62" w14:textId="77777777" w:rsidR="00940E7C" w:rsidRPr="0034434D" w:rsidRDefault="00940E7C" w:rsidP="00B34C2C">
            <w:pPr>
              <w:autoSpaceDE w:val="0"/>
              <w:autoSpaceDN w:val="0"/>
              <w:adjustRightInd w:val="0"/>
              <w:rPr>
                <w:lang w:val="en-US"/>
              </w:rPr>
            </w:pPr>
          </w:p>
        </w:tc>
        <w:tc>
          <w:tcPr>
            <w:tcW w:w="1194" w:type="dxa"/>
            <w:noWrap/>
            <w:vAlign w:val="center"/>
            <w:hideMark/>
          </w:tcPr>
          <w:p w14:paraId="5D2653AD" w14:textId="77777777" w:rsidR="00940E7C" w:rsidRPr="0034434D" w:rsidRDefault="00940E7C" w:rsidP="00B34C2C">
            <w:pPr>
              <w:autoSpaceDE w:val="0"/>
              <w:autoSpaceDN w:val="0"/>
              <w:adjustRightInd w:val="0"/>
              <w:ind w:left="-108"/>
              <w:rPr>
                <w:lang w:val="en-US"/>
              </w:rPr>
            </w:pPr>
            <w:r w:rsidRPr="001A36A0">
              <w:rPr>
                <w:lang w:val="en-US"/>
              </w:rPr>
              <w:t>-</w:t>
            </w:r>
            <w:r>
              <w:rPr>
                <w:lang w:val="en-US"/>
              </w:rPr>
              <w:t>.</w:t>
            </w:r>
            <w:r w:rsidRPr="001A36A0">
              <w:rPr>
                <w:lang w:val="en-US"/>
              </w:rPr>
              <w:t>514**</w:t>
            </w:r>
            <w:r>
              <w:rPr>
                <w:lang w:val="en-US"/>
              </w:rPr>
              <w:t>*</w:t>
            </w:r>
          </w:p>
        </w:tc>
        <w:tc>
          <w:tcPr>
            <w:tcW w:w="1194" w:type="dxa"/>
            <w:noWrap/>
            <w:vAlign w:val="center"/>
            <w:hideMark/>
          </w:tcPr>
          <w:p w14:paraId="2264F807" w14:textId="77777777" w:rsidR="00940E7C" w:rsidRPr="0034434D" w:rsidRDefault="00940E7C" w:rsidP="00B34C2C">
            <w:pPr>
              <w:autoSpaceDE w:val="0"/>
              <w:autoSpaceDN w:val="0"/>
              <w:adjustRightInd w:val="0"/>
              <w:rPr>
                <w:lang w:val="en-US"/>
              </w:rPr>
            </w:pPr>
            <w:r>
              <w:rPr>
                <w:lang w:val="en-US"/>
              </w:rPr>
              <w:t>.</w:t>
            </w:r>
            <w:r w:rsidRPr="001A36A0">
              <w:rPr>
                <w:lang w:val="en-US"/>
              </w:rPr>
              <w:t>144</w:t>
            </w:r>
          </w:p>
        </w:tc>
        <w:tc>
          <w:tcPr>
            <w:tcW w:w="1194" w:type="dxa"/>
            <w:noWrap/>
            <w:vAlign w:val="center"/>
            <w:hideMark/>
          </w:tcPr>
          <w:p w14:paraId="168BF8C4" w14:textId="77777777" w:rsidR="00940E7C" w:rsidRPr="0034434D" w:rsidRDefault="00940E7C" w:rsidP="00B34C2C">
            <w:pPr>
              <w:autoSpaceDE w:val="0"/>
              <w:autoSpaceDN w:val="0"/>
              <w:adjustRightInd w:val="0"/>
              <w:rPr>
                <w:lang w:val="en-US"/>
              </w:rPr>
            </w:pPr>
            <w:r>
              <w:rPr>
                <w:lang w:val="en-US"/>
              </w:rPr>
              <w:t>.</w:t>
            </w:r>
            <w:r w:rsidRPr="001A36A0">
              <w:rPr>
                <w:lang w:val="en-US"/>
              </w:rPr>
              <w:t>207</w:t>
            </w:r>
            <w:r>
              <w:rPr>
                <w:lang w:val="en-US"/>
              </w:rPr>
              <w:t>*</w:t>
            </w:r>
          </w:p>
        </w:tc>
        <w:tc>
          <w:tcPr>
            <w:tcW w:w="1194" w:type="dxa"/>
            <w:noWrap/>
            <w:vAlign w:val="center"/>
            <w:hideMark/>
          </w:tcPr>
          <w:p w14:paraId="12D330FA" w14:textId="77777777" w:rsidR="00940E7C" w:rsidRPr="0034434D" w:rsidRDefault="00940E7C" w:rsidP="00B34C2C">
            <w:pPr>
              <w:autoSpaceDE w:val="0"/>
              <w:autoSpaceDN w:val="0"/>
              <w:adjustRightInd w:val="0"/>
              <w:rPr>
                <w:lang w:val="en-US"/>
              </w:rPr>
            </w:pPr>
            <w:r w:rsidRPr="001A36A0">
              <w:rPr>
                <w:lang w:val="en-US"/>
              </w:rPr>
              <w:t>-</w:t>
            </w:r>
            <w:r>
              <w:rPr>
                <w:lang w:val="en-US"/>
              </w:rPr>
              <w:t>.</w:t>
            </w:r>
            <w:r w:rsidRPr="001A36A0">
              <w:rPr>
                <w:lang w:val="en-US"/>
              </w:rPr>
              <w:t>067</w:t>
            </w:r>
          </w:p>
        </w:tc>
      </w:tr>
      <w:tr w:rsidR="00940E7C" w:rsidRPr="001A36A0" w14:paraId="57D4D2DF" w14:textId="77777777" w:rsidTr="00B34C2C">
        <w:trPr>
          <w:trHeight w:val="295"/>
        </w:trPr>
        <w:tc>
          <w:tcPr>
            <w:tcW w:w="2092" w:type="dxa"/>
            <w:noWrap/>
            <w:vAlign w:val="center"/>
            <w:hideMark/>
          </w:tcPr>
          <w:p w14:paraId="7110444E" w14:textId="77777777" w:rsidR="00940E7C" w:rsidRPr="0034434D" w:rsidRDefault="00940E7C" w:rsidP="00B34C2C">
            <w:pPr>
              <w:autoSpaceDE w:val="0"/>
              <w:autoSpaceDN w:val="0"/>
              <w:adjustRightInd w:val="0"/>
              <w:rPr>
                <w:lang w:val="en-US"/>
              </w:rPr>
            </w:pPr>
            <w:r w:rsidRPr="0034434D">
              <w:rPr>
                <w:lang w:val="en-US"/>
              </w:rPr>
              <w:t xml:space="preserve">2. </w:t>
            </w:r>
            <w:r>
              <w:rPr>
                <w:lang w:val="en-US"/>
              </w:rPr>
              <w:t>Mass Party</w:t>
            </w:r>
          </w:p>
        </w:tc>
        <w:tc>
          <w:tcPr>
            <w:tcW w:w="1045" w:type="dxa"/>
            <w:noWrap/>
            <w:vAlign w:val="center"/>
            <w:hideMark/>
          </w:tcPr>
          <w:p w14:paraId="18195209" w14:textId="77777777" w:rsidR="00940E7C" w:rsidRPr="0034434D" w:rsidRDefault="00940E7C" w:rsidP="00B34C2C">
            <w:pPr>
              <w:autoSpaceDE w:val="0"/>
              <w:autoSpaceDN w:val="0"/>
              <w:adjustRightInd w:val="0"/>
              <w:rPr>
                <w:lang w:val="en-US"/>
              </w:rPr>
            </w:pPr>
          </w:p>
        </w:tc>
        <w:tc>
          <w:tcPr>
            <w:tcW w:w="1194" w:type="dxa"/>
            <w:noWrap/>
            <w:vAlign w:val="center"/>
            <w:hideMark/>
          </w:tcPr>
          <w:p w14:paraId="1E6CD3C0" w14:textId="77777777" w:rsidR="00940E7C" w:rsidRPr="0034434D" w:rsidRDefault="00940E7C" w:rsidP="00B34C2C">
            <w:pPr>
              <w:autoSpaceDE w:val="0"/>
              <w:autoSpaceDN w:val="0"/>
              <w:adjustRightInd w:val="0"/>
              <w:rPr>
                <w:lang w:val="en-US"/>
              </w:rPr>
            </w:pPr>
          </w:p>
        </w:tc>
        <w:tc>
          <w:tcPr>
            <w:tcW w:w="1194" w:type="dxa"/>
            <w:noWrap/>
            <w:vAlign w:val="center"/>
            <w:hideMark/>
          </w:tcPr>
          <w:p w14:paraId="5004343B" w14:textId="77777777" w:rsidR="00940E7C" w:rsidRPr="0034434D" w:rsidRDefault="00940E7C" w:rsidP="00B34C2C">
            <w:pPr>
              <w:autoSpaceDE w:val="0"/>
              <w:autoSpaceDN w:val="0"/>
              <w:adjustRightInd w:val="0"/>
              <w:rPr>
                <w:lang w:val="en-US"/>
              </w:rPr>
            </w:pPr>
            <w:r>
              <w:rPr>
                <w:lang w:val="en-US"/>
              </w:rPr>
              <w:t>.</w:t>
            </w:r>
            <w:r w:rsidRPr="001A36A0">
              <w:rPr>
                <w:lang w:val="en-US"/>
              </w:rPr>
              <w:t>448*</w:t>
            </w:r>
            <w:r>
              <w:rPr>
                <w:lang w:val="en-US"/>
              </w:rPr>
              <w:t>*</w:t>
            </w:r>
            <w:r w:rsidRPr="001A36A0">
              <w:rPr>
                <w:lang w:val="en-US"/>
              </w:rPr>
              <w:t>*</w:t>
            </w:r>
          </w:p>
        </w:tc>
        <w:tc>
          <w:tcPr>
            <w:tcW w:w="1194" w:type="dxa"/>
            <w:noWrap/>
            <w:vAlign w:val="center"/>
            <w:hideMark/>
          </w:tcPr>
          <w:p w14:paraId="4C54A036" w14:textId="77777777" w:rsidR="00940E7C" w:rsidRPr="0034434D" w:rsidRDefault="00940E7C" w:rsidP="00B34C2C">
            <w:pPr>
              <w:autoSpaceDE w:val="0"/>
              <w:autoSpaceDN w:val="0"/>
              <w:adjustRightInd w:val="0"/>
              <w:rPr>
                <w:lang w:val="en-US"/>
              </w:rPr>
            </w:pPr>
            <w:r>
              <w:rPr>
                <w:lang w:val="en-US"/>
              </w:rPr>
              <w:t>.</w:t>
            </w:r>
            <w:r w:rsidRPr="001A36A0">
              <w:rPr>
                <w:lang w:val="en-US"/>
              </w:rPr>
              <w:t>199</w:t>
            </w:r>
            <w:r>
              <w:rPr>
                <w:lang w:val="en-US"/>
              </w:rPr>
              <w:t>*</w:t>
            </w:r>
          </w:p>
        </w:tc>
        <w:tc>
          <w:tcPr>
            <w:tcW w:w="1194" w:type="dxa"/>
            <w:noWrap/>
            <w:vAlign w:val="center"/>
            <w:hideMark/>
          </w:tcPr>
          <w:p w14:paraId="65931D38" w14:textId="77777777" w:rsidR="00940E7C" w:rsidRPr="0034434D" w:rsidRDefault="00940E7C" w:rsidP="00B34C2C">
            <w:pPr>
              <w:autoSpaceDE w:val="0"/>
              <w:autoSpaceDN w:val="0"/>
              <w:adjustRightInd w:val="0"/>
              <w:rPr>
                <w:lang w:val="en-US"/>
              </w:rPr>
            </w:pPr>
            <w:r w:rsidRPr="001A36A0">
              <w:rPr>
                <w:lang w:val="en-US"/>
              </w:rPr>
              <w:t>-</w:t>
            </w:r>
            <w:r>
              <w:rPr>
                <w:lang w:val="en-US"/>
              </w:rPr>
              <w:t>.</w:t>
            </w:r>
            <w:r w:rsidRPr="001A36A0">
              <w:rPr>
                <w:lang w:val="en-US"/>
              </w:rPr>
              <w:t>092</w:t>
            </w:r>
          </w:p>
        </w:tc>
      </w:tr>
      <w:tr w:rsidR="00940E7C" w:rsidRPr="001A36A0" w14:paraId="13E96545" w14:textId="77777777" w:rsidTr="00B34C2C">
        <w:trPr>
          <w:trHeight w:val="295"/>
        </w:trPr>
        <w:tc>
          <w:tcPr>
            <w:tcW w:w="2092" w:type="dxa"/>
            <w:noWrap/>
            <w:vAlign w:val="center"/>
            <w:hideMark/>
          </w:tcPr>
          <w:p w14:paraId="1AAA9393" w14:textId="77777777" w:rsidR="00940E7C" w:rsidRPr="0034434D" w:rsidRDefault="00940E7C" w:rsidP="00B34C2C">
            <w:pPr>
              <w:autoSpaceDE w:val="0"/>
              <w:autoSpaceDN w:val="0"/>
              <w:adjustRightInd w:val="0"/>
              <w:rPr>
                <w:lang w:val="en-US"/>
              </w:rPr>
            </w:pPr>
            <w:r w:rsidRPr="0034434D">
              <w:rPr>
                <w:lang w:val="en-US"/>
              </w:rPr>
              <w:t xml:space="preserve">3. </w:t>
            </w:r>
            <w:r>
              <w:rPr>
                <w:lang w:val="en-US"/>
              </w:rPr>
              <w:t>Traditional Party</w:t>
            </w:r>
          </w:p>
        </w:tc>
        <w:tc>
          <w:tcPr>
            <w:tcW w:w="1045" w:type="dxa"/>
            <w:noWrap/>
            <w:vAlign w:val="center"/>
            <w:hideMark/>
          </w:tcPr>
          <w:p w14:paraId="1CEC2AB9" w14:textId="77777777" w:rsidR="00940E7C" w:rsidRPr="0034434D" w:rsidRDefault="00940E7C" w:rsidP="00B34C2C">
            <w:pPr>
              <w:autoSpaceDE w:val="0"/>
              <w:autoSpaceDN w:val="0"/>
              <w:adjustRightInd w:val="0"/>
              <w:rPr>
                <w:lang w:val="en-US"/>
              </w:rPr>
            </w:pPr>
          </w:p>
        </w:tc>
        <w:tc>
          <w:tcPr>
            <w:tcW w:w="1194" w:type="dxa"/>
            <w:noWrap/>
            <w:vAlign w:val="center"/>
            <w:hideMark/>
          </w:tcPr>
          <w:p w14:paraId="2B2FB727" w14:textId="77777777" w:rsidR="00940E7C" w:rsidRPr="0034434D" w:rsidRDefault="00940E7C" w:rsidP="00B34C2C">
            <w:pPr>
              <w:autoSpaceDE w:val="0"/>
              <w:autoSpaceDN w:val="0"/>
              <w:adjustRightInd w:val="0"/>
              <w:rPr>
                <w:lang w:val="en-US"/>
              </w:rPr>
            </w:pPr>
          </w:p>
        </w:tc>
        <w:tc>
          <w:tcPr>
            <w:tcW w:w="1194" w:type="dxa"/>
            <w:noWrap/>
            <w:vAlign w:val="center"/>
            <w:hideMark/>
          </w:tcPr>
          <w:p w14:paraId="609212A1" w14:textId="77777777" w:rsidR="00940E7C" w:rsidRPr="0034434D" w:rsidRDefault="00940E7C" w:rsidP="00B34C2C">
            <w:pPr>
              <w:autoSpaceDE w:val="0"/>
              <w:autoSpaceDN w:val="0"/>
              <w:adjustRightInd w:val="0"/>
              <w:rPr>
                <w:lang w:val="en-US"/>
              </w:rPr>
            </w:pPr>
          </w:p>
        </w:tc>
        <w:tc>
          <w:tcPr>
            <w:tcW w:w="1194" w:type="dxa"/>
            <w:noWrap/>
            <w:vAlign w:val="center"/>
          </w:tcPr>
          <w:p w14:paraId="5EE1A4EB" w14:textId="77777777" w:rsidR="00940E7C" w:rsidRPr="0034434D" w:rsidRDefault="00940E7C" w:rsidP="00B34C2C">
            <w:pPr>
              <w:autoSpaceDE w:val="0"/>
              <w:autoSpaceDN w:val="0"/>
              <w:adjustRightInd w:val="0"/>
              <w:rPr>
                <w:lang w:val="en-US"/>
              </w:rPr>
            </w:pPr>
            <w:r>
              <w:rPr>
                <w:lang w:val="en-US"/>
              </w:rPr>
              <w:t>.</w:t>
            </w:r>
            <w:r w:rsidRPr="001A36A0">
              <w:rPr>
                <w:lang w:val="en-US"/>
              </w:rPr>
              <w:t>387*</w:t>
            </w:r>
            <w:r>
              <w:rPr>
                <w:lang w:val="en-US"/>
              </w:rPr>
              <w:t>*</w:t>
            </w:r>
            <w:r w:rsidRPr="001A36A0">
              <w:rPr>
                <w:lang w:val="en-US"/>
              </w:rPr>
              <w:t>*</w:t>
            </w:r>
          </w:p>
        </w:tc>
        <w:tc>
          <w:tcPr>
            <w:tcW w:w="1194" w:type="dxa"/>
            <w:noWrap/>
            <w:vAlign w:val="center"/>
          </w:tcPr>
          <w:p w14:paraId="1180C3EF" w14:textId="77777777" w:rsidR="00940E7C" w:rsidRPr="0034434D" w:rsidRDefault="00940E7C" w:rsidP="00B34C2C">
            <w:pPr>
              <w:autoSpaceDE w:val="0"/>
              <w:autoSpaceDN w:val="0"/>
              <w:adjustRightInd w:val="0"/>
              <w:rPr>
                <w:lang w:val="en-US"/>
              </w:rPr>
            </w:pPr>
            <w:r w:rsidRPr="001A36A0">
              <w:rPr>
                <w:lang w:val="en-US"/>
              </w:rPr>
              <w:t>-</w:t>
            </w:r>
            <w:r>
              <w:rPr>
                <w:lang w:val="en-US"/>
              </w:rPr>
              <w:t>.</w:t>
            </w:r>
            <w:r w:rsidRPr="001A36A0">
              <w:rPr>
                <w:lang w:val="en-US"/>
              </w:rPr>
              <w:t>226*</w:t>
            </w:r>
            <w:r>
              <w:rPr>
                <w:lang w:val="en-US"/>
              </w:rPr>
              <w:t>*</w:t>
            </w:r>
          </w:p>
        </w:tc>
      </w:tr>
      <w:tr w:rsidR="00940E7C" w:rsidRPr="0034434D" w14:paraId="072AD31C" w14:textId="77777777" w:rsidTr="00B34C2C">
        <w:trPr>
          <w:trHeight w:val="295"/>
        </w:trPr>
        <w:tc>
          <w:tcPr>
            <w:tcW w:w="2092" w:type="dxa"/>
            <w:noWrap/>
            <w:vAlign w:val="center"/>
            <w:hideMark/>
          </w:tcPr>
          <w:p w14:paraId="7BDEB971" w14:textId="77777777" w:rsidR="00940E7C" w:rsidRPr="0034434D" w:rsidRDefault="00940E7C" w:rsidP="00B34C2C">
            <w:pPr>
              <w:autoSpaceDE w:val="0"/>
              <w:autoSpaceDN w:val="0"/>
              <w:adjustRightInd w:val="0"/>
              <w:rPr>
                <w:lang w:val="en-US"/>
              </w:rPr>
            </w:pPr>
            <w:r>
              <w:rPr>
                <w:lang w:val="en-US"/>
              </w:rPr>
              <w:t>4</w:t>
            </w:r>
            <w:r w:rsidRPr="0034434D">
              <w:rPr>
                <w:lang w:val="en-US"/>
              </w:rPr>
              <w:t>. Local Majority</w:t>
            </w:r>
          </w:p>
        </w:tc>
        <w:tc>
          <w:tcPr>
            <w:tcW w:w="1045" w:type="dxa"/>
            <w:noWrap/>
            <w:vAlign w:val="center"/>
            <w:hideMark/>
          </w:tcPr>
          <w:p w14:paraId="2A7D18CA" w14:textId="77777777" w:rsidR="00940E7C" w:rsidRPr="0034434D" w:rsidRDefault="00940E7C" w:rsidP="00B34C2C">
            <w:pPr>
              <w:autoSpaceDE w:val="0"/>
              <w:autoSpaceDN w:val="0"/>
              <w:adjustRightInd w:val="0"/>
              <w:rPr>
                <w:lang w:val="en-US"/>
              </w:rPr>
            </w:pPr>
          </w:p>
        </w:tc>
        <w:tc>
          <w:tcPr>
            <w:tcW w:w="1194" w:type="dxa"/>
            <w:noWrap/>
            <w:vAlign w:val="center"/>
            <w:hideMark/>
          </w:tcPr>
          <w:p w14:paraId="1C2CD739" w14:textId="77777777" w:rsidR="00940E7C" w:rsidRPr="0034434D" w:rsidRDefault="00940E7C" w:rsidP="00B34C2C">
            <w:pPr>
              <w:autoSpaceDE w:val="0"/>
              <w:autoSpaceDN w:val="0"/>
              <w:adjustRightInd w:val="0"/>
              <w:rPr>
                <w:lang w:val="en-US"/>
              </w:rPr>
            </w:pPr>
          </w:p>
        </w:tc>
        <w:tc>
          <w:tcPr>
            <w:tcW w:w="1194" w:type="dxa"/>
            <w:noWrap/>
            <w:vAlign w:val="center"/>
            <w:hideMark/>
          </w:tcPr>
          <w:p w14:paraId="7F497760" w14:textId="77777777" w:rsidR="00940E7C" w:rsidRPr="0034434D" w:rsidRDefault="00940E7C" w:rsidP="00B34C2C">
            <w:pPr>
              <w:autoSpaceDE w:val="0"/>
              <w:autoSpaceDN w:val="0"/>
              <w:adjustRightInd w:val="0"/>
              <w:rPr>
                <w:lang w:val="en-US"/>
              </w:rPr>
            </w:pPr>
          </w:p>
        </w:tc>
        <w:tc>
          <w:tcPr>
            <w:tcW w:w="1194" w:type="dxa"/>
            <w:noWrap/>
            <w:vAlign w:val="center"/>
            <w:hideMark/>
          </w:tcPr>
          <w:p w14:paraId="40759DA1" w14:textId="77777777" w:rsidR="00940E7C" w:rsidRPr="0034434D" w:rsidRDefault="00940E7C" w:rsidP="00B34C2C">
            <w:pPr>
              <w:autoSpaceDE w:val="0"/>
              <w:autoSpaceDN w:val="0"/>
              <w:adjustRightInd w:val="0"/>
              <w:rPr>
                <w:lang w:val="en-US"/>
              </w:rPr>
            </w:pPr>
          </w:p>
        </w:tc>
        <w:tc>
          <w:tcPr>
            <w:tcW w:w="1194" w:type="dxa"/>
            <w:noWrap/>
            <w:vAlign w:val="center"/>
            <w:hideMark/>
          </w:tcPr>
          <w:p w14:paraId="7B2CF7C9" w14:textId="77777777" w:rsidR="00940E7C" w:rsidRPr="0034434D" w:rsidRDefault="00940E7C" w:rsidP="00B34C2C">
            <w:pPr>
              <w:autoSpaceDE w:val="0"/>
              <w:autoSpaceDN w:val="0"/>
              <w:adjustRightInd w:val="0"/>
              <w:rPr>
                <w:lang w:val="en-US"/>
              </w:rPr>
            </w:pPr>
            <w:r w:rsidRPr="0034434D">
              <w:rPr>
                <w:lang w:val="en-US"/>
              </w:rPr>
              <w:t>-.105</w:t>
            </w:r>
          </w:p>
        </w:tc>
      </w:tr>
      <w:tr w:rsidR="00940E7C" w:rsidRPr="0034434D" w14:paraId="0C7D5F43" w14:textId="77777777" w:rsidTr="00B34C2C">
        <w:trPr>
          <w:trHeight w:val="295"/>
        </w:trPr>
        <w:tc>
          <w:tcPr>
            <w:tcW w:w="2092" w:type="dxa"/>
            <w:tcBorders>
              <w:bottom w:val="single" w:sz="4" w:space="0" w:color="auto"/>
            </w:tcBorders>
            <w:noWrap/>
            <w:vAlign w:val="center"/>
          </w:tcPr>
          <w:p w14:paraId="10F17AAB" w14:textId="77777777" w:rsidR="00940E7C" w:rsidRPr="0034434D" w:rsidRDefault="00940E7C" w:rsidP="00B34C2C">
            <w:pPr>
              <w:autoSpaceDE w:val="0"/>
              <w:autoSpaceDN w:val="0"/>
              <w:adjustRightInd w:val="0"/>
              <w:rPr>
                <w:lang w:val="en-US"/>
              </w:rPr>
            </w:pPr>
            <w:r>
              <w:rPr>
                <w:lang w:val="en-US"/>
              </w:rPr>
              <w:t>5</w:t>
            </w:r>
            <w:r w:rsidRPr="0034434D">
              <w:rPr>
                <w:lang w:val="en-US"/>
              </w:rPr>
              <w:t>. Municipal Size</w:t>
            </w:r>
          </w:p>
        </w:tc>
        <w:tc>
          <w:tcPr>
            <w:tcW w:w="1045" w:type="dxa"/>
            <w:tcBorders>
              <w:bottom w:val="single" w:sz="4" w:space="0" w:color="auto"/>
            </w:tcBorders>
            <w:noWrap/>
            <w:vAlign w:val="center"/>
          </w:tcPr>
          <w:p w14:paraId="1AFBAD04" w14:textId="77777777" w:rsidR="00940E7C" w:rsidRPr="0034434D" w:rsidRDefault="00940E7C" w:rsidP="00B34C2C">
            <w:pPr>
              <w:autoSpaceDE w:val="0"/>
              <w:autoSpaceDN w:val="0"/>
              <w:adjustRightInd w:val="0"/>
              <w:rPr>
                <w:lang w:val="en-US"/>
              </w:rPr>
            </w:pPr>
          </w:p>
        </w:tc>
        <w:tc>
          <w:tcPr>
            <w:tcW w:w="1194" w:type="dxa"/>
            <w:tcBorders>
              <w:bottom w:val="single" w:sz="4" w:space="0" w:color="auto"/>
            </w:tcBorders>
            <w:noWrap/>
            <w:vAlign w:val="center"/>
          </w:tcPr>
          <w:p w14:paraId="44294373" w14:textId="77777777" w:rsidR="00940E7C" w:rsidRPr="0034434D" w:rsidRDefault="00940E7C" w:rsidP="00B34C2C">
            <w:pPr>
              <w:autoSpaceDE w:val="0"/>
              <w:autoSpaceDN w:val="0"/>
              <w:adjustRightInd w:val="0"/>
              <w:rPr>
                <w:lang w:val="en-US"/>
              </w:rPr>
            </w:pPr>
          </w:p>
        </w:tc>
        <w:tc>
          <w:tcPr>
            <w:tcW w:w="1194" w:type="dxa"/>
            <w:tcBorders>
              <w:bottom w:val="single" w:sz="4" w:space="0" w:color="auto"/>
            </w:tcBorders>
            <w:noWrap/>
            <w:vAlign w:val="center"/>
          </w:tcPr>
          <w:p w14:paraId="7E0D7A2D" w14:textId="77777777" w:rsidR="00940E7C" w:rsidRPr="0034434D" w:rsidRDefault="00940E7C" w:rsidP="00B34C2C">
            <w:pPr>
              <w:autoSpaceDE w:val="0"/>
              <w:autoSpaceDN w:val="0"/>
              <w:adjustRightInd w:val="0"/>
              <w:rPr>
                <w:lang w:val="en-US"/>
              </w:rPr>
            </w:pPr>
          </w:p>
        </w:tc>
        <w:tc>
          <w:tcPr>
            <w:tcW w:w="1194" w:type="dxa"/>
            <w:tcBorders>
              <w:bottom w:val="single" w:sz="4" w:space="0" w:color="auto"/>
            </w:tcBorders>
            <w:noWrap/>
            <w:vAlign w:val="center"/>
          </w:tcPr>
          <w:p w14:paraId="661503A9" w14:textId="77777777" w:rsidR="00940E7C" w:rsidRPr="0034434D" w:rsidRDefault="00940E7C" w:rsidP="00B34C2C">
            <w:pPr>
              <w:autoSpaceDE w:val="0"/>
              <w:autoSpaceDN w:val="0"/>
              <w:adjustRightInd w:val="0"/>
              <w:rPr>
                <w:lang w:val="en-US"/>
              </w:rPr>
            </w:pPr>
          </w:p>
        </w:tc>
        <w:tc>
          <w:tcPr>
            <w:tcW w:w="1194" w:type="dxa"/>
            <w:tcBorders>
              <w:bottom w:val="single" w:sz="4" w:space="0" w:color="auto"/>
            </w:tcBorders>
            <w:noWrap/>
            <w:vAlign w:val="center"/>
          </w:tcPr>
          <w:p w14:paraId="4F3A5936" w14:textId="77777777" w:rsidR="00940E7C" w:rsidRPr="0034434D" w:rsidRDefault="00940E7C" w:rsidP="00B34C2C">
            <w:pPr>
              <w:autoSpaceDE w:val="0"/>
              <w:autoSpaceDN w:val="0"/>
              <w:adjustRightInd w:val="0"/>
              <w:rPr>
                <w:lang w:val="en-US"/>
              </w:rPr>
            </w:pPr>
            <w:r w:rsidRPr="0034434D">
              <w:rPr>
                <w:lang w:val="en-US"/>
              </w:rPr>
              <w:t>-</w:t>
            </w:r>
          </w:p>
        </w:tc>
      </w:tr>
    </w:tbl>
    <w:p w14:paraId="40BC3D5F" w14:textId="77777777" w:rsidR="00940E7C" w:rsidRPr="0034434D" w:rsidRDefault="00940E7C" w:rsidP="00940E7C">
      <w:pPr>
        <w:autoSpaceDE w:val="0"/>
        <w:autoSpaceDN w:val="0"/>
        <w:adjustRightInd w:val="0"/>
        <w:spacing w:after="0" w:line="240" w:lineRule="auto"/>
        <w:rPr>
          <w:lang w:val="en-US"/>
        </w:rPr>
      </w:pPr>
      <w:r w:rsidRPr="0034434D">
        <w:rPr>
          <w:lang w:val="en-US"/>
        </w:rPr>
        <w:t>Note: All correlations are Spearman Rho coefficients</w:t>
      </w:r>
      <w:r w:rsidRPr="0034434D">
        <w:rPr>
          <w:lang w:val="en-US"/>
        </w:rPr>
        <w:br/>
        <w:t>* p &lt; .1; ** p &lt; .05; *** p &lt; .01</w:t>
      </w:r>
    </w:p>
    <w:p w14:paraId="5F6DF34B" w14:textId="77777777" w:rsidR="00A40CB8" w:rsidRDefault="00A40CB8" w:rsidP="0076490C">
      <w:pPr>
        <w:jc w:val="both"/>
        <w:rPr>
          <w:b/>
          <w:lang w:val="en-GB"/>
        </w:rPr>
      </w:pPr>
    </w:p>
    <w:p w14:paraId="687B59CC" w14:textId="2DBDACC6" w:rsidR="00A40CB8" w:rsidRDefault="00A40CB8" w:rsidP="0076490C">
      <w:pPr>
        <w:jc w:val="both"/>
        <w:rPr>
          <w:b/>
          <w:lang w:val="en-GB"/>
        </w:rPr>
      </w:pPr>
    </w:p>
    <w:p w14:paraId="5590079B" w14:textId="6099EA04" w:rsidR="00A40CB8" w:rsidRDefault="00A40CB8" w:rsidP="0076490C">
      <w:pPr>
        <w:jc w:val="both"/>
        <w:rPr>
          <w:b/>
          <w:lang w:val="en-GB"/>
        </w:rPr>
      </w:pPr>
    </w:p>
    <w:p w14:paraId="7CD0C53D" w14:textId="0BB37D3D" w:rsidR="00A40CB8" w:rsidRDefault="00A40CB8" w:rsidP="0076490C">
      <w:pPr>
        <w:jc w:val="both"/>
        <w:rPr>
          <w:b/>
          <w:lang w:val="en-GB"/>
        </w:rPr>
      </w:pPr>
    </w:p>
    <w:p w14:paraId="62914A4F" w14:textId="7FD84235" w:rsidR="00A40CB8" w:rsidRDefault="00A40CB8" w:rsidP="0076490C">
      <w:pPr>
        <w:jc w:val="both"/>
        <w:rPr>
          <w:b/>
          <w:lang w:val="en-GB"/>
        </w:rPr>
      </w:pPr>
    </w:p>
    <w:p w14:paraId="1FE6592C" w14:textId="2670DC2C" w:rsidR="00A40CB8" w:rsidRDefault="00A40CB8" w:rsidP="0076490C">
      <w:pPr>
        <w:jc w:val="both"/>
        <w:rPr>
          <w:b/>
          <w:lang w:val="en-GB"/>
        </w:rPr>
      </w:pPr>
    </w:p>
    <w:p w14:paraId="4404277F" w14:textId="52BB53A2" w:rsidR="00A40CB8" w:rsidRDefault="00A40CB8" w:rsidP="0076490C">
      <w:pPr>
        <w:jc w:val="both"/>
        <w:rPr>
          <w:b/>
          <w:lang w:val="en-GB"/>
        </w:rPr>
      </w:pPr>
    </w:p>
    <w:p w14:paraId="7896EA07" w14:textId="77844AE9" w:rsidR="00A40CB8" w:rsidRDefault="00A40CB8" w:rsidP="0076490C">
      <w:pPr>
        <w:jc w:val="both"/>
        <w:rPr>
          <w:b/>
          <w:lang w:val="en-GB"/>
        </w:rPr>
      </w:pPr>
    </w:p>
    <w:p w14:paraId="29674C9A" w14:textId="293ABD6A" w:rsidR="00A40CB8" w:rsidRDefault="00A40CB8" w:rsidP="0076490C">
      <w:pPr>
        <w:jc w:val="both"/>
        <w:rPr>
          <w:b/>
          <w:lang w:val="en-GB"/>
        </w:rPr>
      </w:pPr>
    </w:p>
    <w:p w14:paraId="2C7B9776" w14:textId="4D814D38" w:rsidR="00A40CB8" w:rsidRDefault="00A40CB8" w:rsidP="0076490C">
      <w:pPr>
        <w:jc w:val="both"/>
        <w:rPr>
          <w:b/>
          <w:lang w:val="en-GB"/>
        </w:rPr>
      </w:pPr>
    </w:p>
    <w:p w14:paraId="0DAC03D8" w14:textId="747C42A5" w:rsidR="00A40CB8" w:rsidRDefault="00A40CB8" w:rsidP="0076490C">
      <w:pPr>
        <w:jc w:val="both"/>
        <w:rPr>
          <w:b/>
          <w:lang w:val="en-GB"/>
        </w:rPr>
      </w:pPr>
    </w:p>
    <w:p w14:paraId="5F509020" w14:textId="5E15A3F5" w:rsidR="00A40CB8" w:rsidRDefault="00A40CB8" w:rsidP="0076490C">
      <w:pPr>
        <w:jc w:val="both"/>
        <w:rPr>
          <w:b/>
          <w:lang w:val="en-GB"/>
        </w:rPr>
      </w:pPr>
    </w:p>
    <w:p w14:paraId="0790B835" w14:textId="5012D669" w:rsidR="00A40CB8" w:rsidRDefault="00A40CB8" w:rsidP="0076490C">
      <w:pPr>
        <w:jc w:val="both"/>
        <w:rPr>
          <w:b/>
          <w:lang w:val="en-GB"/>
        </w:rPr>
      </w:pPr>
    </w:p>
    <w:p w14:paraId="4AF7AC7D" w14:textId="7DB86690" w:rsidR="00A40CB8" w:rsidRDefault="00A40CB8" w:rsidP="0076490C">
      <w:pPr>
        <w:jc w:val="both"/>
        <w:rPr>
          <w:b/>
          <w:lang w:val="en-GB"/>
        </w:rPr>
      </w:pPr>
    </w:p>
    <w:p w14:paraId="44E0740F" w14:textId="26439C26" w:rsidR="00A40CB8" w:rsidRDefault="00A40CB8" w:rsidP="0076490C">
      <w:pPr>
        <w:jc w:val="both"/>
        <w:rPr>
          <w:b/>
          <w:lang w:val="en-GB"/>
        </w:rPr>
      </w:pPr>
    </w:p>
    <w:p w14:paraId="184284B3" w14:textId="0ACA1EC5" w:rsidR="00A40CB8" w:rsidRDefault="00A40CB8" w:rsidP="0076490C">
      <w:pPr>
        <w:jc w:val="both"/>
        <w:rPr>
          <w:b/>
          <w:lang w:val="en-GB"/>
        </w:rPr>
      </w:pPr>
    </w:p>
    <w:p w14:paraId="69609D27" w14:textId="070B318E" w:rsidR="00A40CB8" w:rsidRDefault="00A40CB8" w:rsidP="0076490C">
      <w:pPr>
        <w:jc w:val="both"/>
        <w:rPr>
          <w:b/>
          <w:lang w:val="en-GB"/>
        </w:rPr>
      </w:pPr>
    </w:p>
    <w:p w14:paraId="7C7474E6" w14:textId="0AE42637" w:rsidR="00A40CB8" w:rsidRDefault="00A40CB8" w:rsidP="0076490C">
      <w:pPr>
        <w:jc w:val="both"/>
        <w:rPr>
          <w:b/>
          <w:lang w:val="en-GB"/>
        </w:rPr>
      </w:pPr>
    </w:p>
    <w:p w14:paraId="6F901A08" w14:textId="77777777" w:rsidR="00666885" w:rsidRDefault="00666885" w:rsidP="00A40CB8">
      <w:pPr>
        <w:jc w:val="both"/>
        <w:rPr>
          <w:b/>
          <w:lang w:val="en-GB"/>
        </w:rPr>
      </w:pPr>
    </w:p>
    <w:p w14:paraId="69CC0FD1" w14:textId="77777777" w:rsidR="00666885" w:rsidRDefault="00666885">
      <w:pPr>
        <w:rPr>
          <w:b/>
          <w:lang w:val="en-GB"/>
        </w:rPr>
      </w:pPr>
      <w:r>
        <w:rPr>
          <w:b/>
          <w:lang w:val="en-GB"/>
        </w:rPr>
        <w:br w:type="page"/>
      </w:r>
    </w:p>
    <w:p w14:paraId="5487B278" w14:textId="203DAB2C" w:rsidR="00666885" w:rsidRPr="00940E7C" w:rsidRDefault="00666885" w:rsidP="00666885">
      <w:pPr>
        <w:autoSpaceDE w:val="0"/>
        <w:autoSpaceDN w:val="0"/>
        <w:adjustRightInd w:val="0"/>
        <w:spacing w:after="0" w:line="240" w:lineRule="auto"/>
        <w:jc w:val="both"/>
        <w:rPr>
          <w:b/>
          <w:lang w:val="en-US"/>
        </w:rPr>
      </w:pPr>
      <w:r w:rsidRPr="00940E7C">
        <w:rPr>
          <w:b/>
          <w:lang w:val="en-US"/>
        </w:rPr>
        <w:lastRenderedPageBreak/>
        <w:t xml:space="preserve">Table </w:t>
      </w:r>
      <w:r>
        <w:rPr>
          <w:b/>
          <w:lang w:val="en-US"/>
        </w:rPr>
        <w:t>3</w:t>
      </w:r>
      <w:r w:rsidRPr="00940E7C">
        <w:rPr>
          <w:b/>
          <w:lang w:val="en-US"/>
        </w:rPr>
        <w:t xml:space="preserve">: Multivariate Linear Regression of Ideological Nationalization (RNS) at the Flemish Local Elections of 2012 </w:t>
      </w:r>
    </w:p>
    <w:tbl>
      <w:tblPr>
        <w:tblStyle w:val="Onopgemaaktetabel21"/>
        <w:tblpPr w:leftFromText="141" w:rightFromText="141" w:vertAnchor="text" w:horzAnchor="margin" w:tblpY="99"/>
        <w:tblW w:w="8814" w:type="dxa"/>
        <w:tblLook w:val="06A0" w:firstRow="1" w:lastRow="0" w:firstColumn="1" w:lastColumn="0" w:noHBand="1" w:noVBand="1"/>
      </w:tblPr>
      <w:tblGrid>
        <w:gridCol w:w="980"/>
        <w:gridCol w:w="1540"/>
        <w:gridCol w:w="1049"/>
        <w:gridCol w:w="1016"/>
        <w:gridCol w:w="33"/>
        <w:gridCol w:w="1049"/>
        <w:gridCol w:w="935"/>
        <w:gridCol w:w="114"/>
        <w:gridCol w:w="1049"/>
        <w:gridCol w:w="1049"/>
      </w:tblGrid>
      <w:tr w:rsidR="00666885" w:rsidRPr="00592951" w14:paraId="3C363202" w14:textId="77777777" w:rsidTr="003358FE">
        <w:trPr>
          <w:cnfStyle w:val="100000000000" w:firstRow="1" w:lastRow="0" w:firstColumn="0" w:lastColumn="0" w:oddVBand="0" w:evenVBand="0" w:oddHBand="0" w:evenHBand="0" w:firstRowFirstColumn="0" w:firstRowLastColumn="0" w:lastRowFirstColumn="0" w:lastRowLastColumn="0"/>
          <w:trHeight w:hRule="exact" w:val="320"/>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7F7F7F" w:themeColor="text1" w:themeTint="80"/>
              <w:bottom w:val="nil"/>
            </w:tcBorders>
          </w:tcPr>
          <w:p w14:paraId="74D694DC" w14:textId="77777777" w:rsidR="00666885" w:rsidRPr="00592951" w:rsidRDefault="00666885" w:rsidP="003358FE">
            <w:pPr>
              <w:autoSpaceDE w:val="0"/>
              <w:autoSpaceDN w:val="0"/>
              <w:adjustRightInd w:val="0"/>
              <w:rPr>
                <w:b w:val="0"/>
                <w:bCs w:val="0"/>
                <w:lang w:val="en-US"/>
              </w:rPr>
            </w:pPr>
          </w:p>
        </w:tc>
        <w:tc>
          <w:tcPr>
            <w:tcW w:w="1540" w:type="dxa"/>
            <w:tcBorders>
              <w:top w:val="single" w:sz="4" w:space="0" w:color="7F7F7F" w:themeColor="text1" w:themeTint="80"/>
              <w:bottom w:val="nil"/>
            </w:tcBorders>
          </w:tcPr>
          <w:p w14:paraId="6719B202" w14:textId="77777777" w:rsidR="00666885" w:rsidRPr="00592951" w:rsidRDefault="00666885" w:rsidP="003358F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val="en-US"/>
              </w:rPr>
            </w:pPr>
          </w:p>
        </w:tc>
        <w:tc>
          <w:tcPr>
            <w:tcW w:w="2065" w:type="dxa"/>
            <w:gridSpan w:val="2"/>
            <w:tcBorders>
              <w:top w:val="single" w:sz="4" w:space="0" w:color="7F7F7F" w:themeColor="text1" w:themeTint="80"/>
              <w:bottom w:val="single" w:sz="4" w:space="0" w:color="auto"/>
            </w:tcBorders>
          </w:tcPr>
          <w:p w14:paraId="5FCEDAC1" w14:textId="77777777" w:rsidR="00666885" w:rsidRPr="00592951" w:rsidRDefault="00666885" w:rsidP="003358F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val="en-US"/>
              </w:rPr>
            </w:pPr>
            <w:r w:rsidRPr="00592951">
              <w:rPr>
                <w:b w:val="0"/>
                <w:bCs w:val="0"/>
                <w:lang w:val="en-US"/>
              </w:rPr>
              <w:t>Model 1</w:t>
            </w:r>
          </w:p>
        </w:tc>
        <w:tc>
          <w:tcPr>
            <w:tcW w:w="2017" w:type="dxa"/>
            <w:gridSpan w:val="3"/>
            <w:tcBorders>
              <w:top w:val="single" w:sz="4" w:space="0" w:color="7F7F7F" w:themeColor="text1" w:themeTint="80"/>
              <w:bottom w:val="single" w:sz="4" w:space="0" w:color="auto"/>
            </w:tcBorders>
          </w:tcPr>
          <w:p w14:paraId="1DAB0AC3" w14:textId="77777777" w:rsidR="00666885" w:rsidRPr="00592951" w:rsidRDefault="00666885" w:rsidP="003358F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val="en-US"/>
              </w:rPr>
            </w:pPr>
            <w:r w:rsidRPr="00592951">
              <w:rPr>
                <w:b w:val="0"/>
                <w:bCs w:val="0"/>
                <w:lang w:val="en-US"/>
              </w:rPr>
              <w:t>Model 2</w:t>
            </w:r>
          </w:p>
        </w:tc>
        <w:tc>
          <w:tcPr>
            <w:tcW w:w="2212" w:type="dxa"/>
            <w:gridSpan w:val="3"/>
            <w:tcBorders>
              <w:top w:val="single" w:sz="4" w:space="0" w:color="7F7F7F" w:themeColor="text1" w:themeTint="80"/>
              <w:bottom w:val="single" w:sz="4" w:space="0" w:color="auto"/>
            </w:tcBorders>
          </w:tcPr>
          <w:p w14:paraId="45C89CDA" w14:textId="77777777" w:rsidR="00666885" w:rsidRPr="00592951" w:rsidRDefault="00666885" w:rsidP="003358F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val="en-US"/>
              </w:rPr>
            </w:pPr>
            <w:r w:rsidRPr="00592951">
              <w:rPr>
                <w:b w:val="0"/>
                <w:bCs w:val="0"/>
                <w:lang w:val="en-US"/>
              </w:rPr>
              <w:t>Model 3</w:t>
            </w:r>
          </w:p>
        </w:tc>
      </w:tr>
      <w:tr w:rsidR="00666885" w:rsidRPr="00592951" w14:paraId="3F644328" w14:textId="77777777" w:rsidTr="003358FE">
        <w:trPr>
          <w:trHeight w:hRule="exact" w:val="320"/>
        </w:trPr>
        <w:tc>
          <w:tcPr>
            <w:cnfStyle w:val="001000000000" w:firstRow="0" w:lastRow="0" w:firstColumn="1" w:lastColumn="0" w:oddVBand="0" w:evenVBand="0" w:oddHBand="0" w:evenHBand="0" w:firstRowFirstColumn="0" w:firstRowLastColumn="0" w:lastRowFirstColumn="0" w:lastRowLastColumn="0"/>
            <w:tcW w:w="980" w:type="dxa"/>
            <w:tcBorders>
              <w:top w:val="nil"/>
              <w:bottom w:val="single" w:sz="4" w:space="0" w:color="auto"/>
            </w:tcBorders>
          </w:tcPr>
          <w:p w14:paraId="06295644" w14:textId="77777777" w:rsidR="00666885" w:rsidRPr="00592951" w:rsidRDefault="00666885" w:rsidP="003358FE">
            <w:pPr>
              <w:autoSpaceDE w:val="0"/>
              <w:autoSpaceDN w:val="0"/>
              <w:adjustRightInd w:val="0"/>
              <w:rPr>
                <w:b w:val="0"/>
                <w:bCs w:val="0"/>
                <w:lang w:val="en-US"/>
              </w:rPr>
            </w:pPr>
          </w:p>
        </w:tc>
        <w:tc>
          <w:tcPr>
            <w:tcW w:w="1540" w:type="dxa"/>
            <w:tcBorders>
              <w:top w:val="nil"/>
              <w:bottom w:val="single" w:sz="4" w:space="0" w:color="auto"/>
            </w:tcBorders>
          </w:tcPr>
          <w:p w14:paraId="7ADF1284"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single" w:sz="4" w:space="0" w:color="auto"/>
              <w:bottom w:val="single" w:sz="4" w:space="0" w:color="auto"/>
            </w:tcBorders>
          </w:tcPr>
          <w:p w14:paraId="5AD64B69"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B</w:t>
            </w:r>
          </w:p>
        </w:tc>
        <w:tc>
          <w:tcPr>
            <w:tcW w:w="1049" w:type="dxa"/>
            <w:gridSpan w:val="2"/>
            <w:tcBorders>
              <w:top w:val="single" w:sz="4" w:space="0" w:color="auto"/>
              <w:bottom w:val="single" w:sz="4" w:space="0" w:color="auto"/>
            </w:tcBorders>
          </w:tcPr>
          <w:p w14:paraId="6A17E5EA"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S.E.</w:t>
            </w:r>
          </w:p>
        </w:tc>
        <w:tc>
          <w:tcPr>
            <w:tcW w:w="1049" w:type="dxa"/>
            <w:tcBorders>
              <w:top w:val="single" w:sz="4" w:space="0" w:color="auto"/>
              <w:bottom w:val="single" w:sz="4" w:space="0" w:color="auto"/>
            </w:tcBorders>
          </w:tcPr>
          <w:p w14:paraId="31DC3BFE"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B</w:t>
            </w:r>
          </w:p>
        </w:tc>
        <w:tc>
          <w:tcPr>
            <w:tcW w:w="1049" w:type="dxa"/>
            <w:gridSpan w:val="2"/>
            <w:tcBorders>
              <w:top w:val="single" w:sz="4" w:space="0" w:color="auto"/>
              <w:bottom w:val="single" w:sz="4" w:space="0" w:color="auto"/>
            </w:tcBorders>
          </w:tcPr>
          <w:p w14:paraId="68F64E05"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S.E.</w:t>
            </w:r>
          </w:p>
        </w:tc>
        <w:tc>
          <w:tcPr>
            <w:tcW w:w="1049" w:type="dxa"/>
            <w:tcBorders>
              <w:top w:val="single" w:sz="4" w:space="0" w:color="auto"/>
              <w:bottom w:val="single" w:sz="4" w:space="0" w:color="auto"/>
            </w:tcBorders>
          </w:tcPr>
          <w:p w14:paraId="4C1C1259"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B</w:t>
            </w:r>
          </w:p>
        </w:tc>
        <w:tc>
          <w:tcPr>
            <w:tcW w:w="1049" w:type="dxa"/>
            <w:tcBorders>
              <w:top w:val="single" w:sz="4" w:space="0" w:color="auto"/>
              <w:bottom w:val="single" w:sz="4" w:space="0" w:color="auto"/>
            </w:tcBorders>
          </w:tcPr>
          <w:p w14:paraId="6BF8B5D3"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S.E</w:t>
            </w:r>
          </w:p>
        </w:tc>
      </w:tr>
      <w:tr w:rsidR="00666885" w:rsidRPr="00592951" w14:paraId="5ADD4087" w14:textId="77777777" w:rsidTr="003358FE">
        <w:trPr>
          <w:trHeight w:hRule="exact" w:val="320"/>
        </w:trPr>
        <w:tc>
          <w:tcPr>
            <w:cnfStyle w:val="001000000000" w:firstRow="0" w:lastRow="0" w:firstColumn="1" w:lastColumn="0" w:oddVBand="0" w:evenVBand="0" w:oddHBand="0" w:evenHBand="0" w:firstRowFirstColumn="0" w:firstRowLastColumn="0" w:lastRowFirstColumn="0" w:lastRowLastColumn="0"/>
            <w:tcW w:w="980" w:type="dxa"/>
            <w:tcBorders>
              <w:top w:val="nil"/>
              <w:bottom w:val="single" w:sz="4" w:space="0" w:color="auto"/>
            </w:tcBorders>
          </w:tcPr>
          <w:p w14:paraId="047137C4" w14:textId="77777777" w:rsidR="00666885" w:rsidRPr="00592951" w:rsidRDefault="00666885" w:rsidP="003358FE">
            <w:pPr>
              <w:autoSpaceDE w:val="0"/>
              <w:autoSpaceDN w:val="0"/>
              <w:adjustRightInd w:val="0"/>
              <w:rPr>
                <w:b w:val="0"/>
                <w:bCs w:val="0"/>
                <w:lang w:val="en-US"/>
              </w:rPr>
            </w:pPr>
          </w:p>
        </w:tc>
        <w:tc>
          <w:tcPr>
            <w:tcW w:w="1540" w:type="dxa"/>
            <w:tcBorders>
              <w:top w:val="nil"/>
              <w:bottom w:val="single" w:sz="4" w:space="0" w:color="auto"/>
            </w:tcBorders>
          </w:tcPr>
          <w:p w14:paraId="067512B4"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Constant</w:t>
            </w:r>
          </w:p>
        </w:tc>
        <w:tc>
          <w:tcPr>
            <w:tcW w:w="1049" w:type="dxa"/>
            <w:tcBorders>
              <w:top w:val="single" w:sz="4" w:space="0" w:color="auto"/>
              <w:bottom w:val="single" w:sz="4" w:space="0" w:color="auto"/>
            </w:tcBorders>
            <w:vAlign w:val="center"/>
          </w:tcPr>
          <w:p w14:paraId="545B3538"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750***</w:t>
            </w:r>
          </w:p>
        </w:tc>
        <w:tc>
          <w:tcPr>
            <w:tcW w:w="1049" w:type="dxa"/>
            <w:gridSpan w:val="2"/>
            <w:tcBorders>
              <w:top w:val="single" w:sz="4" w:space="0" w:color="auto"/>
              <w:bottom w:val="single" w:sz="4" w:space="0" w:color="auto"/>
            </w:tcBorders>
            <w:vAlign w:val="center"/>
          </w:tcPr>
          <w:p w14:paraId="4A15772A"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017</w:t>
            </w:r>
          </w:p>
        </w:tc>
        <w:tc>
          <w:tcPr>
            <w:tcW w:w="1049" w:type="dxa"/>
            <w:tcBorders>
              <w:top w:val="single" w:sz="4" w:space="0" w:color="auto"/>
              <w:bottom w:val="single" w:sz="4" w:space="0" w:color="auto"/>
            </w:tcBorders>
            <w:vAlign w:val="center"/>
          </w:tcPr>
          <w:p w14:paraId="34896D96"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748***</w:t>
            </w:r>
          </w:p>
        </w:tc>
        <w:tc>
          <w:tcPr>
            <w:tcW w:w="1049" w:type="dxa"/>
            <w:gridSpan w:val="2"/>
            <w:tcBorders>
              <w:top w:val="single" w:sz="4" w:space="0" w:color="auto"/>
              <w:bottom w:val="single" w:sz="4" w:space="0" w:color="auto"/>
            </w:tcBorders>
            <w:vAlign w:val="center"/>
          </w:tcPr>
          <w:p w14:paraId="173DD97A"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017</w:t>
            </w:r>
          </w:p>
        </w:tc>
        <w:tc>
          <w:tcPr>
            <w:tcW w:w="1049" w:type="dxa"/>
            <w:tcBorders>
              <w:top w:val="single" w:sz="4" w:space="0" w:color="auto"/>
              <w:bottom w:val="single" w:sz="4" w:space="0" w:color="auto"/>
            </w:tcBorders>
            <w:vAlign w:val="center"/>
          </w:tcPr>
          <w:p w14:paraId="3ACCE9D3"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730</w:t>
            </w:r>
            <w:r>
              <w:rPr>
                <w:lang w:val="en-US"/>
              </w:rPr>
              <w:t>***</w:t>
            </w:r>
          </w:p>
        </w:tc>
        <w:tc>
          <w:tcPr>
            <w:tcW w:w="1049" w:type="dxa"/>
            <w:tcBorders>
              <w:top w:val="single" w:sz="4" w:space="0" w:color="auto"/>
              <w:bottom w:val="single" w:sz="4" w:space="0" w:color="auto"/>
            </w:tcBorders>
            <w:vAlign w:val="center"/>
          </w:tcPr>
          <w:p w14:paraId="62330896"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018</w:t>
            </w:r>
          </w:p>
        </w:tc>
      </w:tr>
      <w:tr w:rsidR="00666885" w:rsidRPr="00592951" w14:paraId="02D40D2A"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auto"/>
            </w:tcBorders>
          </w:tcPr>
          <w:p w14:paraId="7501534E" w14:textId="77777777" w:rsidR="00666885" w:rsidRPr="00592951" w:rsidRDefault="00666885" w:rsidP="003358FE">
            <w:pPr>
              <w:autoSpaceDE w:val="0"/>
              <w:autoSpaceDN w:val="0"/>
              <w:adjustRightInd w:val="0"/>
              <w:rPr>
                <w:b w:val="0"/>
                <w:bCs w:val="0"/>
                <w:lang w:val="en-US"/>
              </w:rPr>
            </w:pPr>
            <w:r w:rsidRPr="00592951">
              <w:rPr>
                <w:b w:val="0"/>
                <w:bCs w:val="0"/>
                <w:lang w:val="en-US"/>
              </w:rPr>
              <w:t>Party</w:t>
            </w:r>
          </w:p>
        </w:tc>
        <w:tc>
          <w:tcPr>
            <w:tcW w:w="1540" w:type="dxa"/>
            <w:tcBorders>
              <w:top w:val="single" w:sz="4" w:space="0" w:color="auto"/>
            </w:tcBorders>
          </w:tcPr>
          <w:p w14:paraId="4EE5D67D"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Right Party</w:t>
            </w:r>
          </w:p>
        </w:tc>
        <w:tc>
          <w:tcPr>
            <w:tcW w:w="1049" w:type="dxa"/>
            <w:tcBorders>
              <w:top w:val="single" w:sz="4" w:space="0" w:color="auto"/>
            </w:tcBorders>
            <w:vAlign w:val="center"/>
          </w:tcPr>
          <w:p w14:paraId="62625CB0"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029</w:t>
            </w:r>
          </w:p>
        </w:tc>
        <w:tc>
          <w:tcPr>
            <w:tcW w:w="1049" w:type="dxa"/>
            <w:gridSpan w:val="2"/>
            <w:tcBorders>
              <w:top w:val="single" w:sz="4" w:space="0" w:color="auto"/>
            </w:tcBorders>
            <w:vAlign w:val="center"/>
          </w:tcPr>
          <w:p w14:paraId="728ABFA0"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023</w:t>
            </w:r>
          </w:p>
        </w:tc>
        <w:tc>
          <w:tcPr>
            <w:tcW w:w="1049" w:type="dxa"/>
            <w:tcBorders>
              <w:top w:val="single" w:sz="4" w:space="0" w:color="auto"/>
            </w:tcBorders>
            <w:vAlign w:val="center"/>
          </w:tcPr>
          <w:p w14:paraId="4FE64859"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043*</w:t>
            </w:r>
          </w:p>
        </w:tc>
        <w:tc>
          <w:tcPr>
            <w:tcW w:w="1049" w:type="dxa"/>
            <w:gridSpan w:val="2"/>
            <w:tcBorders>
              <w:top w:val="single" w:sz="4" w:space="0" w:color="auto"/>
            </w:tcBorders>
            <w:vAlign w:val="center"/>
          </w:tcPr>
          <w:p w14:paraId="50725579"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023</w:t>
            </w:r>
          </w:p>
        </w:tc>
        <w:tc>
          <w:tcPr>
            <w:tcW w:w="1049" w:type="dxa"/>
            <w:tcBorders>
              <w:top w:val="single" w:sz="4" w:space="0" w:color="auto"/>
            </w:tcBorders>
            <w:vAlign w:val="center"/>
          </w:tcPr>
          <w:p w14:paraId="4D45E650"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041</w:t>
            </w:r>
            <w:r>
              <w:rPr>
                <w:lang w:val="en-US"/>
              </w:rPr>
              <w:t>*</w:t>
            </w:r>
          </w:p>
        </w:tc>
        <w:tc>
          <w:tcPr>
            <w:tcW w:w="1049" w:type="dxa"/>
            <w:tcBorders>
              <w:top w:val="single" w:sz="4" w:space="0" w:color="auto"/>
            </w:tcBorders>
            <w:vAlign w:val="center"/>
          </w:tcPr>
          <w:p w14:paraId="0DA15F5C"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023</w:t>
            </w:r>
          </w:p>
        </w:tc>
      </w:tr>
      <w:tr w:rsidR="00666885" w:rsidRPr="00592951" w14:paraId="7C735EC8"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Pr>
          <w:p w14:paraId="1C09B557" w14:textId="77777777" w:rsidR="00666885" w:rsidRPr="00592951" w:rsidRDefault="00666885" w:rsidP="003358FE">
            <w:pPr>
              <w:autoSpaceDE w:val="0"/>
              <w:autoSpaceDN w:val="0"/>
              <w:adjustRightInd w:val="0"/>
              <w:rPr>
                <w:b w:val="0"/>
                <w:bCs w:val="0"/>
                <w:lang w:val="en-US"/>
              </w:rPr>
            </w:pPr>
          </w:p>
        </w:tc>
        <w:tc>
          <w:tcPr>
            <w:tcW w:w="1540" w:type="dxa"/>
          </w:tcPr>
          <w:p w14:paraId="3B7E7D1C"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Mass Party</w:t>
            </w:r>
          </w:p>
        </w:tc>
        <w:tc>
          <w:tcPr>
            <w:tcW w:w="1049" w:type="dxa"/>
            <w:vAlign w:val="center"/>
          </w:tcPr>
          <w:p w14:paraId="7E9275FB"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003</w:t>
            </w:r>
          </w:p>
        </w:tc>
        <w:tc>
          <w:tcPr>
            <w:tcW w:w="1049" w:type="dxa"/>
            <w:gridSpan w:val="2"/>
            <w:vAlign w:val="center"/>
          </w:tcPr>
          <w:p w14:paraId="53C52414"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035</w:t>
            </w:r>
          </w:p>
        </w:tc>
        <w:tc>
          <w:tcPr>
            <w:tcW w:w="1049" w:type="dxa"/>
            <w:vAlign w:val="center"/>
          </w:tcPr>
          <w:p w14:paraId="4D0603E2"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018</w:t>
            </w:r>
          </w:p>
        </w:tc>
        <w:tc>
          <w:tcPr>
            <w:tcW w:w="1049" w:type="dxa"/>
            <w:gridSpan w:val="2"/>
            <w:vAlign w:val="center"/>
          </w:tcPr>
          <w:p w14:paraId="7ACFCF29"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035</w:t>
            </w:r>
          </w:p>
        </w:tc>
        <w:tc>
          <w:tcPr>
            <w:tcW w:w="1049" w:type="dxa"/>
            <w:vAlign w:val="center"/>
          </w:tcPr>
          <w:p w14:paraId="114B64D6"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sidRPr="00D3010F">
              <w:rPr>
                <w:lang w:val="en-US"/>
              </w:rPr>
              <w:t>-</w:t>
            </w:r>
            <w:r>
              <w:rPr>
                <w:lang w:val="en-US"/>
              </w:rPr>
              <w:t>.</w:t>
            </w:r>
            <w:r w:rsidRPr="00D3010F">
              <w:rPr>
                <w:lang w:val="en-US"/>
              </w:rPr>
              <w:t>016</w:t>
            </w:r>
          </w:p>
        </w:tc>
        <w:tc>
          <w:tcPr>
            <w:tcW w:w="1049" w:type="dxa"/>
            <w:vAlign w:val="center"/>
          </w:tcPr>
          <w:p w14:paraId="146832D9"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034</w:t>
            </w:r>
          </w:p>
        </w:tc>
      </w:tr>
      <w:tr w:rsidR="00666885" w:rsidRPr="00592951" w14:paraId="31431FFC"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Pr>
          <w:p w14:paraId="71082872" w14:textId="77777777" w:rsidR="00666885" w:rsidRPr="00592951" w:rsidRDefault="00666885" w:rsidP="003358FE">
            <w:pPr>
              <w:autoSpaceDE w:val="0"/>
              <w:autoSpaceDN w:val="0"/>
              <w:adjustRightInd w:val="0"/>
              <w:rPr>
                <w:b w:val="0"/>
                <w:bCs w:val="0"/>
                <w:lang w:val="en-US"/>
              </w:rPr>
            </w:pPr>
          </w:p>
        </w:tc>
        <w:tc>
          <w:tcPr>
            <w:tcW w:w="1540" w:type="dxa"/>
          </w:tcPr>
          <w:p w14:paraId="61049F1D"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Traditional</w:t>
            </w:r>
          </w:p>
        </w:tc>
        <w:tc>
          <w:tcPr>
            <w:tcW w:w="1049" w:type="dxa"/>
            <w:vAlign w:val="center"/>
          </w:tcPr>
          <w:p w14:paraId="09590590"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016</w:t>
            </w:r>
          </w:p>
        </w:tc>
        <w:tc>
          <w:tcPr>
            <w:tcW w:w="1049" w:type="dxa"/>
            <w:gridSpan w:val="2"/>
            <w:vAlign w:val="center"/>
          </w:tcPr>
          <w:p w14:paraId="3737199D"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022</w:t>
            </w:r>
          </w:p>
        </w:tc>
        <w:tc>
          <w:tcPr>
            <w:tcW w:w="1049" w:type="dxa"/>
            <w:vAlign w:val="center"/>
          </w:tcPr>
          <w:p w14:paraId="57DE6DA2"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006</w:t>
            </w:r>
          </w:p>
        </w:tc>
        <w:tc>
          <w:tcPr>
            <w:tcW w:w="1049" w:type="dxa"/>
            <w:gridSpan w:val="2"/>
            <w:vAlign w:val="center"/>
          </w:tcPr>
          <w:p w14:paraId="0B20B247"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022</w:t>
            </w:r>
          </w:p>
        </w:tc>
        <w:tc>
          <w:tcPr>
            <w:tcW w:w="1049" w:type="dxa"/>
            <w:vAlign w:val="center"/>
          </w:tcPr>
          <w:p w14:paraId="0063F9C8"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014</w:t>
            </w:r>
          </w:p>
        </w:tc>
        <w:tc>
          <w:tcPr>
            <w:tcW w:w="1049" w:type="dxa"/>
            <w:vAlign w:val="center"/>
          </w:tcPr>
          <w:p w14:paraId="167212AC"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021</w:t>
            </w:r>
          </w:p>
        </w:tc>
      </w:tr>
      <w:tr w:rsidR="00666885" w:rsidRPr="00592951" w14:paraId="374BD2A8"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auto"/>
              <w:bottom w:val="nil"/>
            </w:tcBorders>
          </w:tcPr>
          <w:p w14:paraId="772EE409" w14:textId="77777777" w:rsidR="00666885" w:rsidRPr="00592951" w:rsidRDefault="00666885" w:rsidP="003358FE">
            <w:pPr>
              <w:autoSpaceDE w:val="0"/>
              <w:autoSpaceDN w:val="0"/>
              <w:adjustRightInd w:val="0"/>
              <w:rPr>
                <w:b w:val="0"/>
                <w:bCs w:val="0"/>
                <w:lang w:val="en-US"/>
              </w:rPr>
            </w:pPr>
            <w:r w:rsidRPr="00592951">
              <w:rPr>
                <w:b w:val="0"/>
                <w:bCs w:val="0"/>
                <w:lang w:val="en-US"/>
              </w:rPr>
              <w:t>Context</w:t>
            </w:r>
          </w:p>
        </w:tc>
        <w:tc>
          <w:tcPr>
            <w:tcW w:w="1540" w:type="dxa"/>
            <w:tcBorders>
              <w:top w:val="single" w:sz="4" w:space="0" w:color="auto"/>
              <w:bottom w:val="nil"/>
            </w:tcBorders>
          </w:tcPr>
          <w:p w14:paraId="5CEF2959"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Local Majority</w:t>
            </w:r>
          </w:p>
        </w:tc>
        <w:tc>
          <w:tcPr>
            <w:tcW w:w="1049" w:type="dxa"/>
            <w:tcBorders>
              <w:top w:val="single" w:sz="4" w:space="0" w:color="auto"/>
              <w:bottom w:val="nil"/>
            </w:tcBorders>
          </w:tcPr>
          <w:p w14:paraId="5E1233BE"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gridSpan w:val="2"/>
            <w:tcBorders>
              <w:top w:val="single" w:sz="4" w:space="0" w:color="auto"/>
              <w:bottom w:val="nil"/>
            </w:tcBorders>
          </w:tcPr>
          <w:p w14:paraId="7B57D5E3"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single" w:sz="4" w:space="0" w:color="auto"/>
              <w:bottom w:val="nil"/>
            </w:tcBorders>
            <w:vAlign w:val="center"/>
          </w:tcPr>
          <w:p w14:paraId="73B56BCF"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044**</w:t>
            </w:r>
          </w:p>
        </w:tc>
        <w:tc>
          <w:tcPr>
            <w:tcW w:w="1049" w:type="dxa"/>
            <w:gridSpan w:val="2"/>
            <w:tcBorders>
              <w:top w:val="single" w:sz="4" w:space="0" w:color="auto"/>
              <w:bottom w:val="nil"/>
            </w:tcBorders>
            <w:vAlign w:val="center"/>
          </w:tcPr>
          <w:p w14:paraId="11F5D844"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019</w:t>
            </w:r>
          </w:p>
        </w:tc>
        <w:tc>
          <w:tcPr>
            <w:tcW w:w="1049" w:type="dxa"/>
            <w:tcBorders>
              <w:top w:val="single" w:sz="4" w:space="0" w:color="auto"/>
              <w:bottom w:val="nil"/>
            </w:tcBorders>
            <w:vAlign w:val="center"/>
          </w:tcPr>
          <w:p w14:paraId="1F766A1E"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045</w:t>
            </w:r>
            <w:r>
              <w:rPr>
                <w:lang w:val="en-US"/>
              </w:rPr>
              <w:t>**</w:t>
            </w:r>
          </w:p>
        </w:tc>
        <w:tc>
          <w:tcPr>
            <w:tcW w:w="1049" w:type="dxa"/>
            <w:tcBorders>
              <w:top w:val="single" w:sz="4" w:space="0" w:color="auto"/>
              <w:bottom w:val="nil"/>
            </w:tcBorders>
            <w:vAlign w:val="center"/>
          </w:tcPr>
          <w:p w14:paraId="1CD1CA55"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019</w:t>
            </w:r>
          </w:p>
        </w:tc>
      </w:tr>
      <w:tr w:rsidR="00666885" w:rsidRPr="00592951" w14:paraId="4EB7052A"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Borders>
              <w:top w:val="nil"/>
              <w:bottom w:val="single" w:sz="4" w:space="0" w:color="auto"/>
            </w:tcBorders>
          </w:tcPr>
          <w:p w14:paraId="72DD3E36" w14:textId="77777777" w:rsidR="00666885" w:rsidRPr="00592951" w:rsidRDefault="00666885" w:rsidP="003358FE">
            <w:pPr>
              <w:autoSpaceDE w:val="0"/>
              <w:autoSpaceDN w:val="0"/>
              <w:adjustRightInd w:val="0"/>
              <w:rPr>
                <w:b w:val="0"/>
                <w:bCs w:val="0"/>
                <w:lang w:val="en-US"/>
              </w:rPr>
            </w:pPr>
          </w:p>
        </w:tc>
        <w:tc>
          <w:tcPr>
            <w:tcW w:w="1540" w:type="dxa"/>
            <w:tcBorders>
              <w:top w:val="nil"/>
              <w:bottom w:val="single" w:sz="4" w:space="0" w:color="auto"/>
            </w:tcBorders>
          </w:tcPr>
          <w:p w14:paraId="2CA88CE3"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Municipal Size</w:t>
            </w:r>
          </w:p>
        </w:tc>
        <w:tc>
          <w:tcPr>
            <w:tcW w:w="1049" w:type="dxa"/>
            <w:tcBorders>
              <w:top w:val="nil"/>
              <w:bottom w:val="single" w:sz="4" w:space="0" w:color="auto"/>
            </w:tcBorders>
          </w:tcPr>
          <w:p w14:paraId="5931B043"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gridSpan w:val="2"/>
            <w:tcBorders>
              <w:top w:val="nil"/>
              <w:bottom w:val="single" w:sz="4" w:space="0" w:color="auto"/>
            </w:tcBorders>
          </w:tcPr>
          <w:p w14:paraId="6243E556"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nil"/>
              <w:bottom w:val="single" w:sz="4" w:space="0" w:color="auto"/>
            </w:tcBorders>
          </w:tcPr>
          <w:p w14:paraId="61C1FCC4"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p>
        </w:tc>
        <w:tc>
          <w:tcPr>
            <w:tcW w:w="1049" w:type="dxa"/>
            <w:gridSpan w:val="2"/>
            <w:tcBorders>
              <w:top w:val="nil"/>
              <w:bottom w:val="single" w:sz="4" w:space="0" w:color="auto"/>
            </w:tcBorders>
          </w:tcPr>
          <w:p w14:paraId="6A0AD3F3"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nil"/>
              <w:bottom w:val="single" w:sz="4" w:space="0" w:color="auto"/>
            </w:tcBorders>
            <w:vAlign w:val="center"/>
          </w:tcPr>
          <w:p w14:paraId="3C720EEF"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002</w:t>
            </w:r>
            <w:r>
              <w:rPr>
                <w:lang w:val="en-US"/>
              </w:rPr>
              <w:t>**</w:t>
            </w:r>
          </w:p>
        </w:tc>
        <w:tc>
          <w:tcPr>
            <w:tcW w:w="1049" w:type="dxa"/>
            <w:tcBorders>
              <w:top w:val="nil"/>
              <w:bottom w:val="single" w:sz="4" w:space="0" w:color="auto"/>
            </w:tcBorders>
            <w:vAlign w:val="center"/>
          </w:tcPr>
          <w:p w14:paraId="7EB3B1C0" w14:textId="77777777" w:rsidR="00666885" w:rsidRPr="00592951" w:rsidRDefault="00666885" w:rsidP="003358FE">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3010F">
              <w:rPr>
                <w:lang w:val="en-US"/>
              </w:rPr>
              <w:t>001</w:t>
            </w:r>
          </w:p>
        </w:tc>
      </w:tr>
      <w:tr w:rsidR="00666885" w:rsidRPr="00592951" w14:paraId="4A7A1F58"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auto"/>
              <w:bottom w:val="nil"/>
            </w:tcBorders>
          </w:tcPr>
          <w:p w14:paraId="5E4E042F" w14:textId="77777777" w:rsidR="00666885" w:rsidRPr="00592951" w:rsidRDefault="00666885" w:rsidP="003358FE">
            <w:pPr>
              <w:autoSpaceDE w:val="0"/>
              <w:autoSpaceDN w:val="0"/>
              <w:adjustRightInd w:val="0"/>
              <w:rPr>
                <w:b w:val="0"/>
                <w:bCs w:val="0"/>
                <w:lang w:val="en-US"/>
              </w:rPr>
            </w:pPr>
          </w:p>
        </w:tc>
        <w:tc>
          <w:tcPr>
            <w:tcW w:w="1540" w:type="dxa"/>
            <w:tcBorders>
              <w:top w:val="single" w:sz="4" w:space="0" w:color="auto"/>
              <w:bottom w:val="nil"/>
            </w:tcBorders>
          </w:tcPr>
          <w:p w14:paraId="72035670"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R²</w:t>
            </w:r>
            <w:r w:rsidRPr="005C017D">
              <w:rPr>
                <w:lang w:val="en-US"/>
              </w:rPr>
              <w:t xml:space="preserve"> </w:t>
            </w:r>
          </w:p>
        </w:tc>
        <w:tc>
          <w:tcPr>
            <w:tcW w:w="1049" w:type="dxa"/>
            <w:tcBorders>
              <w:top w:val="single" w:sz="4" w:space="0" w:color="auto"/>
              <w:bottom w:val="nil"/>
            </w:tcBorders>
          </w:tcPr>
          <w:p w14:paraId="0517FEF4"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.034</w:t>
            </w:r>
          </w:p>
        </w:tc>
        <w:tc>
          <w:tcPr>
            <w:tcW w:w="1049" w:type="dxa"/>
            <w:gridSpan w:val="2"/>
            <w:tcBorders>
              <w:top w:val="single" w:sz="4" w:space="0" w:color="auto"/>
              <w:bottom w:val="nil"/>
            </w:tcBorders>
          </w:tcPr>
          <w:p w14:paraId="049C784A"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single" w:sz="4" w:space="0" w:color="auto"/>
              <w:bottom w:val="nil"/>
            </w:tcBorders>
          </w:tcPr>
          <w:p w14:paraId="01BF515B"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.092</w:t>
            </w:r>
          </w:p>
        </w:tc>
        <w:tc>
          <w:tcPr>
            <w:tcW w:w="1049" w:type="dxa"/>
            <w:gridSpan w:val="2"/>
            <w:tcBorders>
              <w:top w:val="single" w:sz="4" w:space="0" w:color="auto"/>
              <w:bottom w:val="nil"/>
            </w:tcBorders>
          </w:tcPr>
          <w:p w14:paraId="23A0B274"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single" w:sz="4" w:space="0" w:color="auto"/>
              <w:bottom w:val="nil"/>
            </w:tcBorders>
          </w:tcPr>
          <w:p w14:paraId="66EACDEE"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92951">
              <w:rPr>
                <w:lang w:val="en-US"/>
              </w:rPr>
              <w:t>.144</w:t>
            </w:r>
          </w:p>
        </w:tc>
        <w:tc>
          <w:tcPr>
            <w:tcW w:w="1049" w:type="dxa"/>
            <w:tcBorders>
              <w:top w:val="single" w:sz="4" w:space="0" w:color="auto"/>
              <w:bottom w:val="nil"/>
            </w:tcBorders>
          </w:tcPr>
          <w:p w14:paraId="58EB005F" w14:textId="77777777" w:rsidR="00666885" w:rsidRPr="00592951"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r>
      <w:tr w:rsidR="00666885" w:rsidRPr="005C017D" w14:paraId="09ACF191" w14:textId="77777777" w:rsidTr="003358FE">
        <w:trPr>
          <w:trHeight w:val="285"/>
        </w:trPr>
        <w:tc>
          <w:tcPr>
            <w:cnfStyle w:val="001000000000" w:firstRow="0" w:lastRow="0" w:firstColumn="1" w:lastColumn="0" w:oddVBand="0" w:evenVBand="0" w:oddHBand="0" w:evenHBand="0" w:firstRowFirstColumn="0" w:firstRowLastColumn="0" w:lastRowFirstColumn="0" w:lastRowLastColumn="0"/>
            <w:tcW w:w="980" w:type="dxa"/>
            <w:tcBorders>
              <w:top w:val="nil"/>
              <w:bottom w:val="single" w:sz="4" w:space="0" w:color="auto"/>
            </w:tcBorders>
          </w:tcPr>
          <w:p w14:paraId="4A113CD9" w14:textId="77777777" w:rsidR="00666885" w:rsidRPr="005C017D" w:rsidRDefault="00666885" w:rsidP="003358FE">
            <w:pPr>
              <w:autoSpaceDE w:val="0"/>
              <w:autoSpaceDN w:val="0"/>
              <w:adjustRightInd w:val="0"/>
              <w:rPr>
                <w:b w:val="0"/>
                <w:bCs w:val="0"/>
                <w:lang w:val="en-US"/>
              </w:rPr>
            </w:pPr>
          </w:p>
        </w:tc>
        <w:tc>
          <w:tcPr>
            <w:tcW w:w="1540" w:type="dxa"/>
            <w:tcBorders>
              <w:top w:val="nil"/>
              <w:bottom w:val="single" w:sz="4" w:space="0" w:color="auto"/>
            </w:tcBorders>
          </w:tcPr>
          <w:p w14:paraId="12582E6C"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roofErr w:type="spellStart"/>
            <w:r w:rsidRPr="005C017D">
              <w:rPr>
                <w:lang w:val="en-US"/>
              </w:rPr>
              <w:t>Anova</w:t>
            </w:r>
            <w:proofErr w:type="spellEnd"/>
            <w:r w:rsidRPr="005C017D">
              <w:rPr>
                <w:lang w:val="en-US"/>
              </w:rPr>
              <w:t xml:space="preserve"> sign.</w:t>
            </w:r>
          </w:p>
        </w:tc>
        <w:tc>
          <w:tcPr>
            <w:tcW w:w="1049" w:type="dxa"/>
            <w:tcBorders>
              <w:top w:val="nil"/>
              <w:bottom w:val="single" w:sz="4" w:space="0" w:color="auto"/>
            </w:tcBorders>
          </w:tcPr>
          <w:p w14:paraId="5BF993B0"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C017D">
              <w:rPr>
                <w:lang w:val="en-US"/>
              </w:rPr>
              <w:t>.398</w:t>
            </w:r>
          </w:p>
        </w:tc>
        <w:tc>
          <w:tcPr>
            <w:tcW w:w="1049" w:type="dxa"/>
            <w:gridSpan w:val="2"/>
            <w:tcBorders>
              <w:top w:val="nil"/>
              <w:bottom w:val="single" w:sz="4" w:space="0" w:color="auto"/>
            </w:tcBorders>
          </w:tcPr>
          <w:p w14:paraId="10A3B875"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nil"/>
              <w:bottom w:val="single" w:sz="4" w:space="0" w:color="auto"/>
            </w:tcBorders>
          </w:tcPr>
          <w:p w14:paraId="73E81B18"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C017D">
              <w:rPr>
                <w:lang w:val="en-US"/>
              </w:rPr>
              <w:t>.083</w:t>
            </w:r>
          </w:p>
        </w:tc>
        <w:tc>
          <w:tcPr>
            <w:tcW w:w="1049" w:type="dxa"/>
            <w:gridSpan w:val="2"/>
            <w:tcBorders>
              <w:top w:val="nil"/>
              <w:bottom w:val="single" w:sz="4" w:space="0" w:color="auto"/>
            </w:tcBorders>
          </w:tcPr>
          <w:p w14:paraId="2A646992"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c>
          <w:tcPr>
            <w:tcW w:w="1049" w:type="dxa"/>
            <w:tcBorders>
              <w:top w:val="nil"/>
              <w:bottom w:val="single" w:sz="4" w:space="0" w:color="auto"/>
            </w:tcBorders>
          </w:tcPr>
          <w:p w14:paraId="6932D7A2"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r w:rsidRPr="005C017D">
              <w:rPr>
                <w:lang w:val="en-US"/>
              </w:rPr>
              <w:t>.022</w:t>
            </w:r>
          </w:p>
        </w:tc>
        <w:tc>
          <w:tcPr>
            <w:tcW w:w="1049" w:type="dxa"/>
            <w:tcBorders>
              <w:top w:val="nil"/>
              <w:bottom w:val="single" w:sz="4" w:space="0" w:color="auto"/>
            </w:tcBorders>
          </w:tcPr>
          <w:p w14:paraId="5E875AA2" w14:textId="77777777" w:rsidR="00666885" w:rsidRPr="005C017D" w:rsidRDefault="00666885" w:rsidP="003358FE">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n-US"/>
              </w:rPr>
            </w:pPr>
          </w:p>
        </w:tc>
      </w:tr>
    </w:tbl>
    <w:p w14:paraId="4ABBECB1" w14:textId="77777777" w:rsidR="00666885" w:rsidRPr="00592951" w:rsidRDefault="00666885" w:rsidP="00666885">
      <w:pPr>
        <w:autoSpaceDE w:val="0"/>
        <w:autoSpaceDN w:val="0"/>
        <w:adjustRightInd w:val="0"/>
        <w:spacing w:after="0" w:line="240" w:lineRule="auto"/>
        <w:rPr>
          <w:lang w:val="en-US"/>
        </w:rPr>
      </w:pPr>
      <w:r>
        <w:rPr>
          <w:lang w:val="en-US"/>
        </w:rPr>
        <w:t xml:space="preserve">Note: </w:t>
      </w:r>
      <w:r w:rsidRPr="00592951">
        <w:rPr>
          <w:lang w:val="en-US"/>
        </w:rPr>
        <w:t>* p &lt; .1; ** p &lt; .05; *** p &lt; .01</w:t>
      </w:r>
    </w:p>
    <w:p w14:paraId="267411CD" w14:textId="77777777" w:rsidR="00666885" w:rsidRDefault="00666885" w:rsidP="00666885">
      <w:pPr>
        <w:jc w:val="both"/>
        <w:rPr>
          <w:b/>
          <w:lang w:val="en-US"/>
        </w:rPr>
      </w:pPr>
    </w:p>
    <w:p w14:paraId="31397071" w14:textId="0049C402" w:rsidR="00666885" w:rsidRDefault="00A40CB8" w:rsidP="00A40CB8">
      <w:pPr>
        <w:jc w:val="both"/>
        <w:rPr>
          <w:b/>
          <w:lang w:val="en-GB"/>
        </w:rPr>
      </w:pPr>
      <w:r>
        <w:rPr>
          <w:b/>
          <w:lang w:val="en-GB"/>
        </w:rPr>
        <w:br w:type="page"/>
      </w:r>
    </w:p>
    <w:p w14:paraId="50FD0723" w14:textId="77777777" w:rsidR="00666885" w:rsidRPr="0053179E" w:rsidRDefault="00666885" w:rsidP="00666885">
      <w:pPr>
        <w:jc w:val="both"/>
        <w:rPr>
          <w:noProof/>
          <w:color w:val="0070C0"/>
          <w:lang w:val="en-US"/>
        </w:rPr>
      </w:pPr>
      <w:r>
        <w:rPr>
          <w:noProof/>
          <w:sz w:val="24"/>
          <w:szCs w:val="20"/>
          <w:lang w:eastAsia="nl-BE"/>
        </w:rPr>
        <w:lastRenderedPageBreak/>
        <w:drawing>
          <wp:anchor distT="0" distB="0" distL="114300" distR="114300" simplePos="0" relativeHeight="251666432" behindDoc="1" locked="0" layoutInCell="1" allowOverlap="1" wp14:anchorId="16079C4A" wp14:editId="3D037CCE">
            <wp:simplePos x="0" y="0"/>
            <wp:positionH relativeFrom="column">
              <wp:posOffset>-360680</wp:posOffset>
            </wp:positionH>
            <wp:positionV relativeFrom="paragraph">
              <wp:posOffset>-4445</wp:posOffset>
            </wp:positionV>
            <wp:extent cx="3933825" cy="33528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352800"/>
                    </a:xfrm>
                    <a:prstGeom prst="rect">
                      <a:avLst/>
                    </a:prstGeom>
                    <a:noFill/>
                  </pic:spPr>
                </pic:pic>
              </a:graphicData>
            </a:graphic>
            <wp14:sizeRelH relativeFrom="margin">
              <wp14:pctWidth>0</wp14:pctWidth>
            </wp14:sizeRelH>
            <wp14:sizeRelV relativeFrom="margin">
              <wp14:pctHeight>0</wp14:pctHeight>
            </wp14:sizeRelV>
          </wp:anchor>
        </w:drawing>
      </w:r>
      <w:r w:rsidRPr="00257F58">
        <w:rPr>
          <w:b/>
          <w:noProof/>
          <w:lang w:val="en-US"/>
        </w:rPr>
        <w:t>Figure 1: Distribution of the RNS scores</w:t>
      </w:r>
      <w:r>
        <w:rPr>
          <w:b/>
          <w:noProof/>
          <w:lang w:val="en-US"/>
        </w:rPr>
        <w:t xml:space="preserve"> (N=89)</w:t>
      </w:r>
    </w:p>
    <w:p w14:paraId="28F130C2" w14:textId="74A5B84B" w:rsidR="00666885" w:rsidRDefault="00666885">
      <w:pPr>
        <w:rPr>
          <w:b/>
          <w:lang w:val="en-US"/>
        </w:rPr>
      </w:pPr>
    </w:p>
    <w:p w14:paraId="149BFEC0" w14:textId="77777777" w:rsidR="00666885" w:rsidRDefault="00666885">
      <w:pPr>
        <w:rPr>
          <w:b/>
          <w:lang w:val="en-US"/>
        </w:rPr>
      </w:pPr>
      <w:r>
        <w:rPr>
          <w:b/>
          <w:lang w:val="en-US"/>
        </w:rPr>
        <w:br w:type="page"/>
      </w:r>
    </w:p>
    <w:p w14:paraId="3F88B5A3" w14:textId="77777777" w:rsidR="00666885" w:rsidRPr="00940E7C" w:rsidRDefault="00666885" w:rsidP="00666885">
      <w:pPr>
        <w:jc w:val="both"/>
        <w:rPr>
          <w:b/>
          <w:noProof/>
          <w:lang w:val="en-US"/>
        </w:rPr>
      </w:pPr>
      <w:r w:rsidRPr="00940E7C">
        <w:rPr>
          <w:b/>
          <w:noProof/>
          <w:lang w:val="en-US"/>
        </w:rPr>
        <w:lastRenderedPageBreak/>
        <w:t>Figure 2: Relative Nationalization Score per party</w:t>
      </w:r>
      <w:r w:rsidRPr="00940E7C">
        <w:rPr>
          <w:b/>
          <w:noProof/>
          <w:sz w:val="24"/>
          <w:szCs w:val="20"/>
          <w:lang w:eastAsia="nl-BE"/>
        </w:rPr>
        <w:drawing>
          <wp:anchor distT="0" distB="0" distL="114300" distR="114300" simplePos="0" relativeHeight="251668480" behindDoc="0" locked="0" layoutInCell="1" allowOverlap="1" wp14:anchorId="7AACF64B" wp14:editId="58719168">
            <wp:simplePos x="0" y="0"/>
            <wp:positionH relativeFrom="column">
              <wp:posOffset>-332105</wp:posOffset>
            </wp:positionH>
            <wp:positionV relativeFrom="paragraph">
              <wp:posOffset>284480</wp:posOffset>
            </wp:positionV>
            <wp:extent cx="3971925" cy="318325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1925" cy="318325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t xml:space="preserve"> (N=89)</w:t>
      </w:r>
    </w:p>
    <w:p w14:paraId="056451E0" w14:textId="77777777" w:rsidR="00666885" w:rsidRPr="00666885" w:rsidRDefault="00666885">
      <w:pPr>
        <w:rPr>
          <w:b/>
          <w:lang w:val="en-US"/>
        </w:rPr>
      </w:pPr>
    </w:p>
    <w:p w14:paraId="0D339A75" w14:textId="77777777" w:rsidR="00666885" w:rsidRDefault="00666885">
      <w:pPr>
        <w:rPr>
          <w:b/>
          <w:lang w:val="en-GB"/>
        </w:rPr>
      </w:pPr>
      <w:r>
        <w:rPr>
          <w:b/>
          <w:lang w:val="en-GB"/>
        </w:rPr>
        <w:br w:type="page"/>
      </w:r>
    </w:p>
    <w:p w14:paraId="452DA753" w14:textId="480C529D" w:rsidR="00A40CB8" w:rsidRPr="009953E7" w:rsidRDefault="00A40CB8" w:rsidP="00A40CB8">
      <w:pPr>
        <w:jc w:val="both"/>
        <w:rPr>
          <w:b/>
          <w:lang w:val="en-GB"/>
        </w:rPr>
      </w:pPr>
      <w:r w:rsidRPr="008D6601">
        <w:rPr>
          <w:b/>
          <w:lang w:val="en-GB"/>
        </w:rPr>
        <w:lastRenderedPageBreak/>
        <w:t>References</w:t>
      </w:r>
    </w:p>
    <w:p w14:paraId="56971785" w14:textId="77777777" w:rsidR="001D2CB3" w:rsidRDefault="00A40CB8" w:rsidP="001D2CB3">
      <w:pPr>
        <w:pStyle w:val="FootnoteText"/>
        <w:ind w:hanging="284"/>
        <w:jc w:val="both"/>
        <w:rPr>
          <w:lang w:val="en-US"/>
        </w:rPr>
      </w:pPr>
      <w:proofErr w:type="spellStart"/>
      <w:r w:rsidRPr="00740887">
        <w:rPr>
          <w:lang w:val="en-US"/>
        </w:rPr>
        <w:t>Aars</w:t>
      </w:r>
      <w:proofErr w:type="spellEnd"/>
      <w:r w:rsidRPr="00740887">
        <w:rPr>
          <w:lang w:val="en-US"/>
        </w:rPr>
        <w:t xml:space="preserve">, J. &amp; </w:t>
      </w:r>
      <w:proofErr w:type="spellStart"/>
      <w:r w:rsidRPr="00740887">
        <w:rPr>
          <w:lang w:val="en-US"/>
        </w:rPr>
        <w:t>Ringkj</w:t>
      </w:r>
      <w:r w:rsidRPr="00740887">
        <w:rPr>
          <w:rFonts w:cstheme="minorHAnsi"/>
          <w:lang w:val="en-US"/>
        </w:rPr>
        <w:t>ø</w:t>
      </w:r>
      <w:r w:rsidRPr="00740887">
        <w:rPr>
          <w:lang w:val="en-US"/>
        </w:rPr>
        <w:t>b</w:t>
      </w:r>
      <w:proofErr w:type="spellEnd"/>
      <w:r w:rsidRPr="00740887">
        <w:rPr>
          <w:lang w:val="en-US"/>
        </w:rPr>
        <w:t xml:space="preserve">, H.-E. (2005). </w:t>
      </w:r>
      <w:r w:rsidRPr="00AD644F">
        <w:rPr>
          <w:lang w:val="en-US"/>
        </w:rPr>
        <w:t xml:space="preserve">Party politicization reversed? Non-partisan alternatives in Norwegian local politics. </w:t>
      </w:r>
      <w:r w:rsidRPr="00AD644F">
        <w:rPr>
          <w:i/>
          <w:lang w:val="en-US"/>
        </w:rPr>
        <w:t>Scandinavian Political Studies, 28</w:t>
      </w:r>
      <w:r w:rsidRPr="00AD644F">
        <w:rPr>
          <w:lang w:val="en-US"/>
        </w:rPr>
        <w:t>(2), 161-182.</w:t>
      </w:r>
    </w:p>
    <w:p w14:paraId="540212EF" w14:textId="7D6E301D" w:rsidR="00A40CB8" w:rsidRPr="00150E93" w:rsidRDefault="00A40CB8" w:rsidP="001D2CB3">
      <w:pPr>
        <w:pStyle w:val="FootnoteText"/>
        <w:ind w:hanging="284"/>
        <w:jc w:val="both"/>
        <w:rPr>
          <w:lang w:val="en-US"/>
        </w:rPr>
      </w:pPr>
      <w:proofErr w:type="spellStart"/>
      <w:r w:rsidRPr="00C06CFF">
        <w:rPr>
          <w:rFonts w:cstheme="minorHAnsi"/>
          <w:lang w:val="en-US"/>
        </w:rPr>
        <w:t>Ackaert</w:t>
      </w:r>
      <w:proofErr w:type="spellEnd"/>
      <w:r w:rsidRPr="00C06CFF">
        <w:rPr>
          <w:rFonts w:cstheme="minorHAnsi"/>
          <w:lang w:val="en-US"/>
        </w:rPr>
        <w:t xml:space="preserve">, J. (2006). </w:t>
      </w:r>
      <w:proofErr w:type="spellStart"/>
      <w:r w:rsidRPr="00C06CFF">
        <w:rPr>
          <w:rFonts w:cstheme="minorHAnsi"/>
          <w:lang w:val="en-US"/>
        </w:rPr>
        <w:t>Politiek</w:t>
      </w:r>
      <w:proofErr w:type="spellEnd"/>
      <w:r w:rsidRPr="00C06CFF">
        <w:rPr>
          <w:rFonts w:cstheme="minorHAnsi"/>
          <w:lang w:val="en-US"/>
        </w:rPr>
        <w:t xml:space="preserve"> in </w:t>
      </w:r>
      <w:proofErr w:type="spellStart"/>
      <w:r w:rsidRPr="00C06CFF">
        <w:rPr>
          <w:rFonts w:cstheme="minorHAnsi"/>
          <w:lang w:val="en-US"/>
        </w:rPr>
        <w:t>mijn</w:t>
      </w:r>
      <w:proofErr w:type="spellEnd"/>
      <w:r w:rsidRPr="00C06CFF">
        <w:rPr>
          <w:rFonts w:cstheme="minorHAnsi"/>
          <w:lang w:val="en-US"/>
        </w:rPr>
        <w:t xml:space="preserve"> </w:t>
      </w:r>
      <w:proofErr w:type="spellStart"/>
      <w:r w:rsidRPr="00C06CFF">
        <w:rPr>
          <w:rFonts w:cstheme="minorHAnsi"/>
          <w:lang w:val="en-US"/>
        </w:rPr>
        <w:t>gemeente</w:t>
      </w:r>
      <w:proofErr w:type="spellEnd"/>
      <w:r w:rsidRPr="00C06CFF">
        <w:rPr>
          <w:rFonts w:cstheme="minorHAnsi"/>
          <w:lang w:val="en-US"/>
        </w:rPr>
        <w:t xml:space="preserve">. </w:t>
      </w:r>
      <w:r w:rsidRPr="00150E93">
        <w:rPr>
          <w:rFonts w:cstheme="minorHAnsi"/>
          <w:lang w:val="en-US"/>
        </w:rPr>
        <w:t xml:space="preserve">Leuven: </w:t>
      </w:r>
      <w:proofErr w:type="spellStart"/>
      <w:r w:rsidRPr="00150E93">
        <w:rPr>
          <w:rFonts w:cstheme="minorHAnsi"/>
          <w:lang w:val="en-US"/>
        </w:rPr>
        <w:t>Davidsfonds</w:t>
      </w:r>
      <w:proofErr w:type="spellEnd"/>
      <w:r w:rsidRPr="00150E93">
        <w:rPr>
          <w:rFonts w:cstheme="minorHAnsi"/>
          <w:lang w:val="en-US"/>
        </w:rPr>
        <w:t>.</w:t>
      </w:r>
    </w:p>
    <w:p w14:paraId="6E9D3C3A" w14:textId="77777777" w:rsidR="00A40CB8" w:rsidRPr="00AD644F" w:rsidRDefault="00A40CB8" w:rsidP="00833454">
      <w:pPr>
        <w:spacing w:after="0" w:line="240" w:lineRule="auto"/>
        <w:ind w:hanging="284"/>
        <w:jc w:val="both"/>
        <w:rPr>
          <w:rFonts w:cstheme="minorHAnsi"/>
          <w:sz w:val="20"/>
          <w:szCs w:val="20"/>
          <w:lang w:val="en-GB"/>
        </w:rPr>
      </w:pPr>
      <w:proofErr w:type="spellStart"/>
      <w:r w:rsidRPr="00150E93">
        <w:rPr>
          <w:rFonts w:cstheme="minorHAnsi"/>
          <w:sz w:val="20"/>
          <w:szCs w:val="20"/>
          <w:lang w:val="en-US"/>
        </w:rPr>
        <w:t>Agasøster</w:t>
      </w:r>
      <w:proofErr w:type="spellEnd"/>
      <w:r w:rsidRPr="00150E93">
        <w:rPr>
          <w:rFonts w:cstheme="minorHAnsi"/>
          <w:sz w:val="20"/>
          <w:szCs w:val="20"/>
          <w:lang w:val="en-US"/>
        </w:rPr>
        <w:t xml:space="preserve">, B. (2001). </w:t>
      </w:r>
      <w:r w:rsidRPr="00AD644F">
        <w:rPr>
          <w:rFonts w:cstheme="minorHAnsi"/>
          <w:sz w:val="20"/>
          <w:szCs w:val="20"/>
          <w:lang w:val="en-GB"/>
        </w:rPr>
        <w:t>A framework for analysing local party policy emphases in Scotland. In: Laver, M. (ed.), Estimating the policy positions of political actors (pp. 76-89). London: Routledge.</w:t>
      </w:r>
    </w:p>
    <w:p w14:paraId="5DC22F61" w14:textId="77777777" w:rsidR="00A40CB8" w:rsidRPr="00AD644F" w:rsidRDefault="00A40CB8" w:rsidP="00833454">
      <w:pPr>
        <w:spacing w:after="0" w:line="240" w:lineRule="auto"/>
        <w:ind w:hanging="284"/>
        <w:jc w:val="both"/>
        <w:rPr>
          <w:rFonts w:cstheme="minorHAnsi"/>
          <w:sz w:val="20"/>
          <w:szCs w:val="20"/>
          <w:lang w:val="en-GB"/>
        </w:rPr>
      </w:pPr>
      <w:r w:rsidRPr="00AD644F">
        <w:rPr>
          <w:rFonts w:cstheme="minorHAnsi"/>
          <w:sz w:val="20"/>
          <w:szCs w:val="20"/>
          <w:lang w:val="en-GB"/>
        </w:rPr>
        <w:t>Ashworth, R. (2000). Party manifestoes and local accountability: a content analysis of local election pledges in Wales. Local Government Studies, 26(3), 11-30.</w:t>
      </w:r>
    </w:p>
    <w:p w14:paraId="7DA09744" w14:textId="77777777" w:rsidR="00A40CB8" w:rsidRPr="00AD644F" w:rsidRDefault="00A40CB8" w:rsidP="00833454">
      <w:pPr>
        <w:pStyle w:val="FootnoteText"/>
        <w:ind w:hanging="284"/>
        <w:jc w:val="both"/>
        <w:rPr>
          <w:lang w:val="en-US"/>
        </w:rPr>
      </w:pPr>
      <w:proofErr w:type="spellStart"/>
      <w:r w:rsidRPr="00AD644F">
        <w:rPr>
          <w:lang w:val="en-US"/>
        </w:rPr>
        <w:t>Bäck</w:t>
      </w:r>
      <w:proofErr w:type="spellEnd"/>
      <w:r w:rsidRPr="00AD644F">
        <w:rPr>
          <w:lang w:val="en-US"/>
        </w:rPr>
        <w:t xml:space="preserve">, H. (2003). Party politics and the common good in Swedish local government. </w:t>
      </w:r>
      <w:r w:rsidRPr="00AD644F">
        <w:rPr>
          <w:i/>
          <w:lang w:val="en-US"/>
        </w:rPr>
        <w:t>Scandinavian Political Studies</w:t>
      </w:r>
      <w:r w:rsidRPr="00AD644F">
        <w:rPr>
          <w:lang w:val="en-US"/>
        </w:rPr>
        <w:t xml:space="preserve">, </w:t>
      </w:r>
      <w:r w:rsidRPr="00AD644F">
        <w:rPr>
          <w:i/>
          <w:lang w:val="en-US"/>
        </w:rPr>
        <w:t>26</w:t>
      </w:r>
      <w:r w:rsidRPr="00AD644F">
        <w:rPr>
          <w:lang w:val="en-US"/>
        </w:rPr>
        <w:t xml:space="preserve">(2), 93-123. </w:t>
      </w:r>
    </w:p>
    <w:p w14:paraId="14D815A6" w14:textId="77777777" w:rsidR="00A40CB8" w:rsidRPr="00833454" w:rsidRDefault="00A40CB8" w:rsidP="00833454">
      <w:pPr>
        <w:spacing w:after="0" w:line="240" w:lineRule="auto"/>
        <w:ind w:hanging="284"/>
        <w:jc w:val="both"/>
        <w:rPr>
          <w:sz w:val="20"/>
          <w:szCs w:val="20"/>
          <w:lang w:val="en-US"/>
        </w:rPr>
      </w:pPr>
      <w:proofErr w:type="spellStart"/>
      <w:r w:rsidRPr="00833454">
        <w:rPr>
          <w:sz w:val="20"/>
          <w:szCs w:val="20"/>
          <w:lang w:val="en-US"/>
        </w:rPr>
        <w:t>Bolleyer</w:t>
      </w:r>
      <w:proofErr w:type="spellEnd"/>
      <w:r w:rsidRPr="00833454">
        <w:rPr>
          <w:sz w:val="20"/>
          <w:szCs w:val="20"/>
          <w:lang w:val="en-US"/>
        </w:rPr>
        <w:t xml:space="preserve">, N. (2011). New Party Organization in Western Europe: Of Party Hierarchies, </w:t>
      </w:r>
      <w:proofErr w:type="spellStart"/>
      <w:r w:rsidRPr="00833454">
        <w:rPr>
          <w:sz w:val="20"/>
          <w:szCs w:val="20"/>
          <w:lang w:val="en-US"/>
        </w:rPr>
        <w:t>Stratarchies</w:t>
      </w:r>
      <w:proofErr w:type="spellEnd"/>
      <w:r w:rsidRPr="00833454">
        <w:rPr>
          <w:sz w:val="20"/>
          <w:szCs w:val="20"/>
          <w:lang w:val="en-US"/>
        </w:rPr>
        <w:t xml:space="preserve"> and Federations. </w:t>
      </w:r>
      <w:r w:rsidRPr="00833454">
        <w:rPr>
          <w:i/>
          <w:sz w:val="20"/>
          <w:szCs w:val="20"/>
          <w:lang w:val="en-US"/>
        </w:rPr>
        <w:t>Party Politics, 18</w:t>
      </w:r>
      <w:r w:rsidRPr="00833454">
        <w:rPr>
          <w:sz w:val="20"/>
          <w:szCs w:val="20"/>
          <w:lang w:val="en-US"/>
        </w:rPr>
        <w:t>(3), 315-336.</w:t>
      </w:r>
    </w:p>
    <w:p w14:paraId="40C34437" w14:textId="77777777" w:rsidR="00A40CB8" w:rsidRPr="00AD644F" w:rsidRDefault="00A40CB8" w:rsidP="00833454">
      <w:pPr>
        <w:spacing w:after="0" w:line="240" w:lineRule="auto"/>
        <w:ind w:hanging="284"/>
        <w:jc w:val="both"/>
        <w:rPr>
          <w:rFonts w:cstheme="minorHAnsi"/>
          <w:sz w:val="20"/>
          <w:szCs w:val="20"/>
          <w:lang w:val="en-GB"/>
        </w:rPr>
      </w:pPr>
      <w:r w:rsidRPr="00AD644F">
        <w:rPr>
          <w:rFonts w:cstheme="minorHAnsi"/>
          <w:sz w:val="20"/>
          <w:szCs w:val="20"/>
          <w:lang w:val="en-GB"/>
        </w:rPr>
        <w:t xml:space="preserve">Budge, I. (1987). The internal analysis of election programmes. In: I. Budge, D. Robertson &amp; D. </w:t>
      </w:r>
      <w:proofErr w:type="spellStart"/>
      <w:r w:rsidRPr="00AD644F">
        <w:rPr>
          <w:rFonts w:cstheme="minorHAnsi"/>
          <w:sz w:val="20"/>
          <w:szCs w:val="20"/>
          <w:lang w:val="en-GB"/>
        </w:rPr>
        <w:t>Hearl</w:t>
      </w:r>
      <w:proofErr w:type="spellEnd"/>
      <w:r w:rsidRPr="00AD644F">
        <w:rPr>
          <w:rFonts w:cstheme="minorHAnsi"/>
          <w:sz w:val="20"/>
          <w:szCs w:val="20"/>
          <w:lang w:val="en-GB"/>
        </w:rPr>
        <w:t xml:space="preserve"> (eds.), Ideology, strategy and party change: spatial analyses of post-war election programmes in 19 democracies (pp. 15-38). Cambridge: Cambridge University Press.</w:t>
      </w:r>
    </w:p>
    <w:p w14:paraId="1E1CD3B0" w14:textId="77777777" w:rsidR="00A40CB8" w:rsidRPr="00AD644F" w:rsidRDefault="00A40CB8" w:rsidP="00833454">
      <w:pPr>
        <w:spacing w:after="0" w:line="240" w:lineRule="auto"/>
        <w:ind w:hanging="284"/>
        <w:jc w:val="both"/>
        <w:rPr>
          <w:rFonts w:cstheme="minorHAnsi"/>
          <w:sz w:val="20"/>
          <w:szCs w:val="20"/>
        </w:rPr>
      </w:pPr>
      <w:proofErr w:type="spellStart"/>
      <w:r w:rsidRPr="00DF2C32">
        <w:rPr>
          <w:rFonts w:cstheme="minorHAnsi"/>
          <w:sz w:val="20"/>
          <w:szCs w:val="20"/>
          <w:lang w:val="en-US"/>
        </w:rPr>
        <w:t>Buelens</w:t>
      </w:r>
      <w:proofErr w:type="spellEnd"/>
      <w:r w:rsidRPr="00DF2C32">
        <w:rPr>
          <w:rFonts w:cstheme="minorHAnsi"/>
          <w:sz w:val="20"/>
          <w:szCs w:val="20"/>
          <w:lang w:val="en-US"/>
        </w:rPr>
        <w:t xml:space="preserve">, J., Dumont, P., </w:t>
      </w:r>
      <w:proofErr w:type="spellStart"/>
      <w:r w:rsidRPr="00DF2C32">
        <w:rPr>
          <w:rFonts w:cstheme="minorHAnsi"/>
          <w:sz w:val="20"/>
          <w:szCs w:val="20"/>
          <w:lang w:val="en-US"/>
        </w:rPr>
        <w:t>Rihoux</w:t>
      </w:r>
      <w:proofErr w:type="spellEnd"/>
      <w:r w:rsidRPr="00DF2C32">
        <w:rPr>
          <w:rFonts w:cstheme="minorHAnsi"/>
          <w:sz w:val="20"/>
          <w:szCs w:val="20"/>
          <w:lang w:val="en-US"/>
        </w:rPr>
        <w:t xml:space="preserve">, B. &amp; </w:t>
      </w:r>
      <w:proofErr w:type="spellStart"/>
      <w:r w:rsidRPr="00DF2C32">
        <w:rPr>
          <w:rFonts w:cstheme="minorHAnsi"/>
          <w:sz w:val="20"/>
          <w:szCs w:val="20"/>
          <w:lang w:val="en-US"/>
        </w:rPr>
        <w:t>Heyndels</w:t>
      </w:r>
      <w:proofErr w:type="spellEnd"/>
      <w:r w:rsidRPr="00DF2C32">
        <w:rPr>
          <w:rFonts w:cstheme="minorHAnsi"/>
          <w:sz w:val="20"/>
          <w:szCs w:val="20"/>
          <w:lang w:val="en-US"/>
        </w:rPr>
        <w:t xml:space="preserve">, B. (2008). </w:t>
      </w:r>
      <w:r w:rsidRPr="00AD644F">
        <w:rPr>
          <w:rFonts w:cstheme="minorHAnsi"/>
          <w:sz w:val="20"/>
          <w:szCs w:val="20"/>
        </w:rPr>
        <w:t xml:space="preserve">Het standpunt van de partij. Wat is belangrijk voor de lokale afdelingen. In: J. </w:t>
      </w:r>
      <w:proofErr w:type="spellStart"/>
      <w:r w:rsidRPr="00AD644F">
        <w:rPr>
          <w:rFonts w:cstheme="minorHAnsi"/>
          <w:sz w:val="20"/>
          <w:szCs w:val="20"/>
        </w:rPr>
        <w:t>Buelens</w:t>
      </w:r>
      <w:proofErr w:type="spellEnd"/>
      <w:r w:rsidRPr="00AD644F">
        <w:rPr>
          <w:rFonts w:cstheme="minorHAnsi"/>
          <w:sz w:val="20"/>
          <w:szCs w:val="20"/>
        </w:rPr>
        <w:t xml:space="preserve">, B. </w:t>
      </w:r>
      <w:proofErr w:type="spellStart"/>
      <w:r w:rsidRPr="00AD644F">
        <w:rPr>
          <w:rFonts w:cstheme="minorHAnsi"/>
          <w:sz w:val="20"/>
          <w:szCs w:val="20"/>
        </w:rPr>
        <w:t>Rihoux</w:t>
      </w:r>
      <w:proofErr w:type="spellEnd"/>
      <w:r w:rsidRPr="00AD644F">
        <w:rPr>
          <w:rFonts w:cstheme="minorHAnsi"/>
          <w:sz w:val="20"/>
          <w:szCs w:val="20"/>
        </w:rPr>
        <w:t xml:space="preserve">, &amp; K. </w:t>
      </w:r>
      <w:proofErr w:type="spellStart"/>
      <w:r w:rsidRPr="00AD644F">
        <w:rPr>
          <w:rFonts w:cstheme="minorHAnsi"/>
          <w:sz w:val="20"/>
          <w:szCs w:val="20"/>
        </w:rPr>
        <w:t>Deschouwer</w:t>
      </w:r>
      <w:proofErr w:type="spellEnd"/>
      <w:r w:rsidRPr="00AD644F">
        <w:rPr>
          <w:rFonts w:cstheme="minorHAnsi"/>
          <w:sz w:val="20"/>
          <w:szCs w:val="20"/>
        </w:rPr>
        <w:t xml:space="preserve"> (</w:t>
      </w:r>
      <w:proofErr w:type="spellStart"/>
      <w:r w:rsidRPr="00AD644F">
        <w:rPr>
          <w:rFonts w:cstheme="minorHAnsi"/>
          <w:sz w:val="20"/>
          <w:szCs w:val="20"/>
        </w:rPr>
        <w:t>eds</w:t>
      </w:r>
      <w:proofErr w:type="spellEnd"/>
      <w:r w:rsidRPr="00AD644F">
        <w:rPr>
          <w:rFonts w:cstheme="minorHAnsi"/>
          <w:sz w:val="20"/>
          <w:szCs w:val="20"/>
        </w:rPr>
        <w:t xml:space="preserve">.), Tussen kiezer en hoofdkwartier. De lokale partijafdelingen en de gemeenteraadsverkiezingen van 2006 (pp. 31-46). Brussels: </w:t>
      </w:r>
      <w:proofErr w:type="spellStart"/>
      <w:r w:rsidRPr="00AD644F">
        <w:rPr>
          <w:rFonts w:cstheme="minorHAnsi"/>
          <w:sz w:val="20"/>
          <w:szCs w:val="20"/>
        </w:rPr>
        <w:t>VUBPress</w:t>
      </w:r>
      <w:proofErr w:type="spellEnd"/>
      <w:r w:rsidRPr="00AD644F">
        <w:rPr>
          <w:rFonts w:cstheme="minorHAnsi"/>
          <w:sz w:val="20"/>
          <w:szCs w:val="20"/>
        </w:rPr>
        <w:t>.</w:t>
      </w:r>
    </w:p>
    <w:p w14:paraId="52F1DB61" w14:textId="77777777" w:rsidR="00A40CB8" w:rsidRPr="00AD644F" w:rsidRDefault="00A40CB8" w:rsidP="00833454">
      <w:pPr>
        <w:spacing w:after="0" w:line="240" w:lineRule="auto"/>
        <w:ind w:hanging="284"/>
        <w:jc w:val="both"/>
        <w:rPr>
          <w:rFonts w:cstheme="minorHAnsi"/>
          <w:sz w:val="20"/>
          <w:szCs w:val="20"/>
          <w:lang w:val="en-GB"/>
        </w:rPr>
      </w:pPr>
      <w:proofErr w:type="spellStart"/>
      <w:r w:rsidRPr="00AD644F">
        <w:rPr>
          <w:rFonts w:cstheme="minorHAnsi"/>
          <w:sz w:val="20"/>
          <w:szCs w:val="20"/>
          <w:lang w:val="en-GB"/>
        </w:rPr>
        <w:t>Caramani</w:t>
      </w:r>
      <w:proofErr w:type="spellEnd"/>
      <w:r w:rsidRPr="00AD644F">
        <w:rPr>
          <w:rFonts w:cstheme="minorHAnsi"/>
          <w:sz w:val="20"/>
          <w:szCs w:val="20"/>
          <w:lang w:val="en-GB"/>
        </w:rPr>
        <w:t>, D. (2004). The nationalization of politics: the formation of national electorates and party systems in Western Europe. Cambridge: Cambridge University Press.</w:t>
      </w:r>
    </w:p>
    <w:p w14:paraId="20320019" w14:textId="77777777" w:rsidR="00833454" w:rsidRDefault="00A40CB8" w:rsidP="00833454">
      <w:pPr>
        <w:spacing w:after="0" w:line="240" w:lineRule="auto"/>
        <w:ind w:hanging="284"/>
        <w:jc w:val="both"/>
        <w:rPr>
          <w:rFonts w:cstheme="minorHAnsi"/>
          <w:sz w:val="20"/>
          <w:szCs w:val="20"/>
          <w:lang w:val="en-GB"/>
        </w:rPr>
      </w:pPr>
      <w:r w:rsidRPr="00AD644F">
        <w:rPr>
          <w:rFonts w:cstheme="minorHAnsi"/>
          <w:sz w:val="20"/>
          <w:szCs w:val="20"/>
          <w:lang w:val="en-GB"/>
        </w:rPr>
        <w:t>Carty, K. (2004). Parties as franchise systems. The stratarchical organizational imperative. Party Politics, 10 (1), 5-24.</w:t>
      </w:r>
    </w:p>
    <w:p w14:paraId="171088E4" w14:textId="2822B848" w:rsidR="00A40CB8" w:rsidRPr="00AD644F" w:rsidRDefault="00A40CB8" w:rsidP="00833454">
      <w:pPr>
        <w:spacing w:after="0" w:line="240" w:lineRule="auto"/>
        <w:ind w:hanging="284"/>
        <w:jc w:val="both"/>
        <w:rPr>
          <w:sz w:val="20"/>
          <w:szCs w:val="20"/>
          <w:lang w:val="en-US"/>
        </w:rPr>
      </w:pPr>
      <w:r w:rsidRPr="00AD644F">
        <w:rPr>
          <w:sz w:val="20"/>
          <w:szCs w:val="20"/>
          <w:lang w:val="en-US"/>
        </w:rPr>
        <w:t xml:space="preserve">Copus, C., Wingfield, M., </w:t>
      </w:r>
      <w:r w:rsidR="008663A3">
        <w:rPr>
          <w:sz w:val="20"/>
          <w:szCs w:val="20"/>
          <w:lang w:val="en-US"/>
        </w:rPr>
        <w:t>Steyvers</w:t>
      </w:r>
      <w:r w:rsidRPr="00AD644F">
        <w:rPr>
          <w:sz w:val="20"/>
          <w:szCs w:val="20"/>
          <w:lang w:val="en-US"/>
        </w:rPr>
        <w:t xml:space="preserve">, K. &amp; Reynaert, H. (2012). A Place to Party? Parties and Nonpartisanship in Local Government. In S. Clarke, P. John &amp; K. </w:t>
      </w:r>
      <w:proofErr w:type="spellStart"/>
      <w:r w:rsidRPr="00AD644F">
        <w:rPr>
          <w:sz w:val="20"/>
          <w:szCs w:val="20"/>
          <w:lang w:val="en-US"/>
        </w:rPr>
        <w:t>Mossberger</w:t>
      </w:r>
      <w:proofErr w:type="spellEnd"/>
      <w:r w:rsidRPr="00AD644F">
        <w:rPr>
          <w:sz w:val="20"/>
          <w:szCs w:val="20"/>
          <w:lang w:val="en-US"/>
        </w:rPr>
        <w:t xml:space="preserve"> (</w:t>
      </w:r>
      <w:proofErr w:type="spellStart"/>
      <w:r w:rsidRPr="00AD644F">
        <w:rPr>
          <w:sz w:val="20"/>
          <w:szCs w:val="20"/>
          <w:lang w:val="en-US"/>
        </w:rPr>
        <w:t>Eds</w:t>
      </w:r>
      <w:proofErr w:type="spellEnd"/>
      <w:r w:rsidRPr="00AD644F">
        <w:rPr>
          <w:sz w:val="20"/>
          <w:szCs w:val="20"/>
          <w:lang w:val="en-US"/>
        </w:rPr>
        <w:t xml:space="preserve">), </w:t>
      </w:r>
      <w:r w:rsidRPr="00AD644F">
        <w:rPr>
          <w:i/>
          <w:sz w:val="20"/>
          <w:szCs w:val="20"/>
          <w:lang w:val="en-US"/>
        </w:rPr>
        <w:t>The Oxford Handbook of Urban Politics</w:t>
      </w:r>
      <w:r w:rsidRPr="00AD644F">
        <w:rPr>
          <w:sz w:val="20"/>
          <w:szCs w:val="20"/>
          <w:lang w:val="en-US"/>
        </w:rPr>
        <w:t xml:space="preserve"> (pp. 210-230). Oxford: Oxford University Press.</w:t>
      </w:r>
    </w:p>
    <w:p w14:paraId="70604F98" w14:textId="77777777" w:rsidR="00A40CB8" w:rsidRPr="00C42A7D" w:rsidRDefault="00A40CB8" w:rsidP="00833454">
      <w:pPr>
        <w:spacing w:after="0" w:line="240" w:lineRule="auto"/>
        <w:ind w:hanging="284"/>
        <w:jc w:val="both"/>
        <w:rPr>
          <w:rFonts w:cs="Calibri"/>
          <w:color w:val="000000"/>
          <w:sz w:val="20"/>
          <w:szCs w:val="20"/>
          <w:lang w:val="en-US"/>
        </w:rPr>
      </w:pPr>
      <w:r w:rsidRPr="00C42A7D">
        <w:rPr>
          <w:rFonts w:cs="Calibri"/>
          <w:color w:val="000000"/>
          <w:sz w:val="20"/>
          <w:szCs w:val="20"/>
          <w:lang w:val="en-US"/>
        </w:rPr>
        <w:t>De Lange, S. (2007)</w:t>
      </w:r>
      <w:r>
        <w:rPr>
          <w:rFonts w:cs="Calibri"/>
          <w:color w:val="000000"/>
          <w:sz w:val="20"/>
          <w:szCs w:val="20"/>
          <w:lang w:val="en-US"/>
        </w:rPr>
        <w:t>.</w:t>
      </w:r>
      <w:r w:rsidRPr="00C42A7D">
        <w:rPr>
          <w:rFonts w:cs="Calibri"/>
          <w:color w:val="000000"/>
          <w:sz w:val="20"/>
          <w:szCs w:val="20"/>
          <w:lang w:val="en-US"/>
        </w:rPr>
        <w:t xml:space="preserve"> A New Winning Formula? The Programmatic Appeal of the Radical Right</w:t>
      </w:r>
      <w:r>
        <w:rPr>
          <w:rFonts w:cs="Calibri"/>
          <w:color w:val="000000"/>
          <w:sz w:val="20"/>
          <w:szCs w:val="20"/>
          <w:lang w:val="en-US"/>
        </w:rPr>
        <w:t>.</w:t>
      </w:r>
      <w:r w:rsidRPr="00C42A7D">
        <w:rPr>
          <w:rFonts w:cs="Calibri"/>
          <w:color w:val="000000"/>
          <w:sz w:val="20"/>
          <w:szCs w:val="20"/>
          <w:lang w:val="en-US"/>
        </w:rPr>
        <w:t xml:space="preserve"> Party Politics</w:t>
      </w:r>
      <w:r>
        <w:rPr>
          <w:rFonts w:cs="Calibri"/>
          <w:color w:val="000000"/>
          <w:sz w:val="20"/>
          <w:szCs w:val="20"/>
          <w:lang w:val="en-US"/>
        </w:rPr>
        <w:t>, 13,</w:t>
      </w:r>
      <w:r w:rsidRPr="00C42A7D">
        <w:rPr>
          <w:rFonts w:cs="Calibri"/>
          <w:color w:val="000000"/>
          <w:sz w:val="20"/>
          <w:szCs w:val="20"/>
          <w:lang w:val="en-US"/>
        </w:rPr>
        <w:t xml:space="preserve"> 411-435.</w:t>
      </w:r>
    </w:p>
    <w:p w14:paraId="39DA5FF9" w14:textId="77777777" w:rsidR="00A40CB8" w:rsidRPr="00740887" w:rsidRDefault="00A40CB8" w:rsidP="00833454">
      <w:pPr>
        <w:spacing w:after="0" w:line="240" w:lineRule="auto"/>
        <w:ind w:hanging="284"/>
        <w:jc w:val="both"/>
        <w:rPr>
          <w:sz w:val="20"/>
          <w:szCs w:val="20"/>
        </w:rPr>
      </w:pPr>
      <w:proofErr w:type="spellStart"/>
      <w:r w:rsidRPr="00AD644F">
        <w:rPr>
          <w:sz w:val="20"/>
          <w:szCs w:val="20"/>
          <w:lang w:val="en-GB"/>
        </w:rPr>
        <w:t>Denters</w:t>
      </w:r>
      <w:proofErr w:type="spellEnd"/>
      <w:r w:rsidRPr="00AD644F">
        <w:rPr>
          <w:sz w:val="20"/>
          <w:szCs w:val="20"/>
          <w:lang w:val="en-GB"/>
        </w:rPr>
        <w:t xml:space="preserve">, B. (2011). Local Governance. In M. </w:t>
      </w:r>
      <w:proofErr w:type="spellStart"/>
      <w:r w:rsidRPr="00AD644F">
        <w:rPr>
          <w:sz w:val="20"/>
          <w:szCs w:val="20"/>
          <w:lang w:val="en-GB"/>
        </w:rPr>
        <w:t>Bevir</w:t>
      </w:r>
      <w:proofErr w:type="spellEnd"/>
      <w:r w:rsidRPr="00AD644F">
        <w:rPr>
          <w:sz w:val="20"/>
          <w:szCs w:val="20"/>
          <w:lang w:val="en-GB"/>
        </w:rPr>
        <w:t xml:space="preserve"> (Ed.). </w:t>
      </w:r>
      <w:r w:rsidRPr="00AD644F">
        <w:rPr>
          <w:i/>
          <w:sz w:val="20"/>
          <w:szCs w:val="20"/>
          <w:lang w:val="en-GB"/>
        </w:rPr>
        <w:t>The Sage Handbook of Governance</w:t>
      </w:r>
      <w:r w:rsidRPr="00AD644F">
        <w:rPr>
          <w:sz w:val="20"/>
          <w:szCs w:val="20"/>
          <w:lang w:val="en-GB"/>
        </w:rPr>
        <w:t xml:space="preserve"> (pp. 252-270). </w:t>
      </w:r>
      <w:r w:rsidRPr="00740887">
        <w:rPr>
          <w:sz w:val="20"/>
          <w:szCs w:val="20"/>
        </w:rPr>
        <w:t>Sage: London.</w:t>
      </w:r>
    </w:p>
    <w:p w14:paraId="09A0A0B6" w14:textId="77777777" w:rsidR="00A40CB8" w:rsidRPr="00AD644F" w:rsidRDefault="00A40CB8" w:rsidP="00833454">
      <w:pPr>
        <w:spacing w:after="0" w:line="240" w:lineRule="auto"/>
        <w:ind w:hanging="284"/>
        <w:jc w:val="both"/>
        <w:rPr>
          <w:sz w:val="20"/>
          <w:szCs w:val="20"/>
        </w:rPr>
      </w:pPr>
      <w:r w:rsidRPr="00AD644F">
        <w:rPr>
          <w:sz w:val="20"/>
          <w:szCs w:val="20"/>
        </w:rPr>
        <w:t xml:space="preserve">Deschouwer, K. &amp; </w:t>
      </w:r>
      <w:proofErr w:type="spellStart"/>
      <w:r w:rsidRPr="00AD644F">
        <w:rPr>
          <w:sz w:val="20"/>
          <w:szCs w:val="20"/>
        </w:rPr>
        <w:t>Rihoux</w:t>
      </w:r>
      <w:proofErr w:type="spellEnd"/>
      <w:r w:rsidRPr="00AD644F">
        <w:rPr>
          <w:sz w:val="20"/>
          <w:szCs w:val="20"/>
        </w:rPr>
        <w:t xml:space="preserve">, B. (2008). De lokale partijafdelingen. Van hiërarchie naar </w:t>
      </w:r>
      <w:proofErr w:type="spellStart"/>
      <w:r w:rsidRPr="00AD644F">
        <w:rPr>
          <w:sz w:val="20"/>
          <w:szCs w:val="20"/>
        </w:rPr>
        <w:t>stratarchie</w:t>
      </w:r>
      <w:proofErr w:type="spellEnd"/>
      <w:r w:rsidRPr="00AD644F">
        <w:rPr>
          <w:sz w:val="20"/>
          <w:szCs w:val="20"/>
        </w:rPr>
        <w:t xml:space="preserve">. In J. </w:t>
      </w:r>
      <w:proofErr w:type="spellStart"/>
      <w:r w:rsidRPr="00AD644F">
        <w:rPr>
          <w:sz w:val="20"/>
          <w:szCs w:val="20"/>
        </w:rPr>
        <w:t>Buelens</w:t>
      </w:r>
      <w:proofErr w:type="spellEnd"/>
      <w:r w:rsidRPr="00AD644F">
        <w:rPr>
          <w:sz w:val="20"/>
          <w:szCs w:val="20"/>
        </w:rPr>
        <w:t xml:space="preserve">, B. </w:t>
      </w:r>
      <w:proofErr w:type="spellStart"/>
      <w:r w:rsidRPr="00AD644F">
        <w:rPr>
          <w:sz w:val="20"/>
          <w:szCs w:val="20"/>
        </w:rPr>
        <w:t>Rihoux</w:t>
      </w:r>
      <w:proofErr w:type="spellEnd"/>
      <w:r w:rsidRPr="00AD644F">
        <w:rPr>
          <w:sz w:val="20"/>
          <w:szCs w:val="20"/>
        </w:rPr>
        <w:t xml:space="preserve"> &amp; K. </w:t>
      </w:r>
      <w:proofErr w:type="spellStart"/>
      <w:r w:rsidRPr="00AD644F">
        <w:rPr>
          <w:sz w:val="20"/>
          <w:szCs w:val="20"/>
        </w:rPr>
        <w:t>Deschouwer</w:t>
      </w:r>
      <w:proofErr w:type="spellEnd"/>
      <w:r w:rsidRPr="00AD644F">
        <w:rPr>
          <w:sz w:val="20"/>
          <w:szCs w:val="20"/>
        </w:rPr>
        <w:t xml:space="preserve"> (Eds.), </w:t>
      </w:r>
      <w:r w:rsidRPr="00AD644F">
        <w:rPr>
          <w:i/>
          <w:sz w:val="20"/>
          <w:szCs w:val="20"/>
        </w:rPr>
        <w:t>Tussen kiezer en hoofdkwartier. De lokale partijafdelingen en de gemeenteraadsverkiezingen van 2006</w:t>
      </w:r>
      <w:r w:rsidRPr="00AD644F">
        <w:rPr>
          <w:sz w:val="20"/>
          <w:szCs w:val="20"/>
        </w:rPr>
        <w:t xml:space="preserve"> (pp. 19-30). Brussel: VUBPRESS. </w:t>
      </w:r>
    </w:p>
    <w:p w14:paraId="72422401" w14:textId="77777777" w:rsidR="00A40CB8" w:rsidRPr="00740887" w:rsidRDefault="00A40CB8" w:rsidP="00833454">
      <w:pPr>
        <w:spacing w:after="0" w:line="240" w:lineRule="auto"/>
        <w:ind w:hanging="284"/>
        <w:jc w:val="both"/>
        <w:rPr>
          <w:rFonts w:cstheme="minorHAnsi"/>
          <w:sz w:val="20"/>
          <w:szCs w:val="20"/>
          <w:lang w:val="en-US"/>
        </w:rPr>
      </w:pPr>
      <w:r w:rsidRPr="00AD644F">
        <w:rPr>
          <w:rFonts w:cstheme="minorHAnsi"/>
          <w:sz w:val="20"/>
          <w:szCs w:val="20"/>
        </w:rPr>
        <w:t xml:space="preserve">Deschouwer, K. (1996). Nationale partijen en gemeenteraadsverkiezingen. In J. </w:t>
      </w:r>
      <w:proofErr w:type="spellStart"/>
      <w:r w:rsidRPr="00AD644F">
        <w:rPr>
          <w:rFonts w:cstheme="minorHAnsi"/>
          <w:sz w:val="20"/>
          <w:szCs w:val="20"/>
        </w:rPr>
        <w:t>Buelens</w:t>
      </w:r>
      <w:proofErr w:type="spellEnd"/>
      <w:r w:rsidRPr="00AD644F">
        <w:rPr>
          <w:rFonts w:cstheme="minorHAnsi"/>
          <w:sz w:val="20"/>
          <w:szCs w:val="20"/>
        </w:rPr>
        <w:t xml:space="preserve">, &amp; K. </w:t>
      </w:r>
      <w:proofErr w:type="spellStart"/>
      <w:r w:rsidRPr="00AD644F">
        <w:rPr>
          <w:rFonts w:cstheme="minorHAnsi"/>
          <w:sz w:val="20"/>
          <w:szCs w:val="20"/>
        </w:rPr>
        <w:t>Deschouwer</w:t>
      </w:r>
      <w:proofErr w:type="spellEnd"/>
      <w:r w:rsidRPr="00AD644F">
        <w:rPr>
          <w:rFonts w:cstheme="minorHAnsi"/>
          <w:sz w:val="20"/>
          <w:szCs w:val="20"/>
        </w:rPr>
        <w:t xml:space="preserve">, De </w:t>
      </w:r>
      <w:proofErr w:type="spellStart"/>
      <w:r w:rsidRPr="00AD644F">
        <w:rPr>
          <w:rFonts w:cstheme="minorHAnsi"/>
          <w:sz w:val="20"/>
          <w:szCs w:val="20"/>
        </w:rPr>
        <w:t>dorpstraat</w:t>
      </w:r>
      <w:proofErr w:type="spellEnd"/>
      <w:r w:rsidRPr="00AD644F">
        <w:rPr>
          <w:rFonts w:cstheme="minorHAnsi"/>
          <w:sz w:val="20"/>
          <w:szCs w:val="20"/>
        </w:rPr>
        <w:t xml:space="preserve"> is de wetstraat niet (pp. 13-25). </w:t>
      </w:r>
      <w:r w:rsidRPr="00740887">
        <w:rPr>
          <w:rFonts w:cstheme="minorHAnsi"/>
          <w:sz w:val="20"/>
          <w:szCs w:val="20"/>
          <w:lang w:val="en-US"/>
        </w:rPr>
        <w:t>Brussels: VUBPRESS.</w:t>
      </w:r>
    </w:p>
    <w:p w14:paraId="6E6C3BE9" w14:textId="77777777" w:rsidR="00A40CB8" w:rsidRPr="00740887" w:rsidRDefault="00A40CB8" w:rsidP="00833454">
      <w:pPr>
        <w:spacing w:after="0" w:line="240" w:lineRule="auto"/>
        <w:ind w:hanging="284"/>
        <w:jc w:val="both"/>
        <w:rPr>
          <w:sz w:val="20"/>
          <w:szCs w:val="20"/>
          <w:lang w:val="en-US"/>
        </w:rPr>
      </w:pPr>
      <w:r w:rsidRPr="00AD644F">
        <w:rPr>
          <w:sz w:val="20"/>
          <w:szCs w:val="20"/>
          <w:lang w:val="en-US"/>
        </w:rPr>
        <w:t xml:space="preserve">Deschouwer, K. (2003). Political Parties in Multi-Layered Systems. </w:t>
      </w:r>
      <w:r w:rsidRPr="00740887">
        <w:rPr>
          <w:i/>
          <w:sz w:val="20"/>
          <w:szCs w:val="20"/>
          <w:lang w:val="en-US"/>
        </w:rPr>
        <w:t>European Urban and Regional Studies, 10</w:t>
      </w:r>
      <w:r w:rsidRPr="00740887">
        <w:rPr>
          <w:sz w:val="20"/>
          <w:szCs w:val="20"/>
          <w:lang w:val="en-US"/>
        </w:rPr>
        <w:t>(3), 213-226.</w:t>
      </w:r>
    </w:p>
    <w:p w14:paraId="49435C18" w14:textId="0C228107" w:rsidR="00A40CB8" w:rsidRPr="00150E93" w:rsidRDefault="00A40CB8" w:rsidP="00833454">
      <w:pPr>
        <w:spacing w:after="0" w:line="240" w:lineRule="auto"/>
        <w:ind w:hanging="284"/>
        <w:jc w:val="both"/>
        <w:rPr>
          <w:rFonts w:cstheme="minorHAnsi"/>
          <w:sz w:val="20"/>
          <w:szCs w:val="20"/>
          <w:lang w:val="en-US"/>
        </w:rPr>
      </w:pPr>
      <w:r w:rsidRPr="00740887">
        <w:rPr>
          <w:rFonts w:cstheme="minorHAnsi"/>
          <w:sz w:val="20"/>
          <w:szCs w:val="20"/>
          <w:lang w:val="en-US"/>
        </w:rPr>
        <w:t xml:space="preserve">Devos, C., Verlet, D. &amp; Reynaert, H. (2007). </w:t>
      </w:r>
      <w:r w:rsidRPr="00AD644F">
        <w:rPr>
          <w:rFonts w:cstheme="minorHAnsi"/>
          <w:sz w:val="20"/>
          <w:szCs w:val="20"/>
        </w:rPr>
        <w:t>Spreken lo</w:t>
      </w:r>
      <w:r w:rsidR="001D2CB3">
        <w:rPr>
          <w:rFonts w:cstheme="minorHAnsi"/>
          <w:sz w:val="20"/>
          <w:szCs w:val="20"/>
        </w:rPr>
        <w:t>k</w:t>
      </w:r>
      <w:r w:rsidRPr="00AD644F">
        <w:rPr>
          <w:rFonts w:cstheme="minorHAnsi"/>
          <w:sz w:val="20"/>
          <w:szCs w:val="20"/>
        </w:rPr>
        <w:t xml:space="preserve">ale afdelingen van Vlaamse partijen uit één mond? </w:t>
      </w:r>
      <w:r w:rsidRPr="00150E93">
        <w:rPr>
          <w:rFonts w:cstheme="minorHAnsi"/>
          <w:sz w:val="20"/>
          <w:szCs w:val="20"/>
          <w:lang w:val="en-US"/>
        </w:rPr>
        <w:t xml:space="preserve">Res </w:t>
      </w:r>
      <w:proofErr w:type="spellStart"/>
      <w:r w:rsidRPr="00150E93">
        <w:rPr>
          <w:rFonts w:cstheme="minorHAnsi"/>
          <w:sz w:val="20"/>
          <w:szCs w:val="20"/>
          <w:lang w:val="en-US"/>
        </w:rPr>
        <w:t>Publica</w:t>
      </w:r>
      <w:proofErr w:type="spellEnd"/>
      <w:r w:rsidRPr="00150E93">
        <w:rPr>
          <w:rFonts w:cstheme="minorHAnsi"/>
          <w:sz w:val="20"/>
          <w:szCs w:val="20"/>
          <w:lang w:val="en-US"/>
        </w:rPr>
        <w:t>, 49 (1), 89-110.</w:t>
      </w:r>
    </w:p>
    <w:p w14:paraId="3A7F3A4B" w14:textId="77777777" w:rsidR="005615E9" w:rsidRDefault="00A40CB8" w:rsidP="00833454">
      <w:pPr>
        <w:spacing w:after="0" w:line="240" w:lineRule="auto"/>
        <w:ind w:hanging="284"/>
        <w:jc w:val="both"/>
        <w:rPr>
          <w:rFonts w:cs="Bembo"/>
          <w:lang w:val="en-US"/>
        </w:rPr>
      </w:pPr>
      <w:proofErr w:type="spellStart"/>
      <w:r w:rsidRPr="00AD644F">
        <w:rPr>
          <w:rFonts w:cstheme="minorHAnsi"/>
          <w:sz w:val="20"/>
          <w:szCs w:val="20"/>
          <w:lang w:val="en-GB"/>
        </w:rPr>
        <w:t>Ennser</w:t>
      </w:r>
      <w:proofErr w:type="spellEnd"/>
      <w:r w:rsidRPr="00AD644F">
        <w:rPr>
          <w:rFonts w:cstheme="minorHAnsi"/>
          <w:sz w:val="20"/>
          <w:szCs w:val="20"/>
          <w:lang w:val="en-GB"/>
        </w:rPr>
        <w:t>, L. &amp; Hansen, M (2013). The contingent nature of local party system nationalisation: the case of Austria 1985-2009. Local Government Studies, 39(6), 777-791.</w:t>
      </w:r>
      <w:r w:rsidRPr="00D24364">
        <w:rPr>
          <w:rFonts w:cs="Bembo"/>
          <w:lang w:val="en-US"/>
        </w:rPr>
        <w:t xml:space="preserve"> </w:t>
      </w:r>
    </w:p>
    <w:p w14:paraId="533C8521" w14:textId="2A8C8FE0" w:rsidR="00A40CB8" w:rsidRPr="00AD644F" w:rsidRDefault="00A40CB8" w:rsidP="00833454">
      <w:pPr>
        <w:spacing w:after="0" w:line="240" w:lineRule="auto"/>
        <w:ind w:hanging="284"/>
        <w:jc w:val="both"/>
        <w:rPr>
          <w:rFonts w:cstheme="minorHAnsi"/>
          <w:sz w:val="20"/>
          <w:szCs w:val="20"/>
          <w:lang w:val="en-GB"/>
        </w:rPr>
      </w:pPr>
      <w:proofErr w:type="spellStart"/>
      <w:r w:rsidRPr="00833454">
        <w:rPr>
          <w:rFonts w:cstheme="minorHAnsi"/>
          <w:sz w:val="20"/>
          <w:szCs w:val="20"/>
          <w:lang w:val="en-GB"/>
        </w:rPr>
        <w:t>Enyedi</w:t>
      </w:r>
      <w:proofErr w:type="spellEnd"/>
      <w:r w:rsidRPr="00833454">
        <w:rPr>
          <w:rFonts w:cstheme="minorHAnsi"/>
          <w:sz w:val="20"/>
          <w:szCs w:val="20"/>
          <w:lang w:val="en-GB"/>
        </w:rPr>
        <w:t xml:space="preserve">, Z. &amp; </w:t>
      </w:r>
      <w:proofErr w:type="spellStart"/>
      <w:r w:rsidRPr="00833454">
        <w:rPr>
          <w:rFonts w:cstheme="minorHAnsi"/>
          <w:sz w:val="20"/>
          <w:szCs w:val="20"/>
          <w:lang w:val="en-GB"/>
        </w:rPr>
        <w:t>Linek</w:t>
      </w:r>
      <w:proofErr w:type="spellEnd"/>
      <w:r w:rsidRPr="00833454">
        <w:rPr>
          <w:rFonts w:cstheme="minorHAnsi"/>
          <w:sz w:val="20"/>
          <w:szCs w:val="20"/>
          <w:lang w:val="en-GB"/>
        </w:rPr>
        <w:t xml:space="preserve">, L. (2008). Searching for the right organization. Ideology and party structure in East-central Europe. </w:t>
      </w:r>
      <w:r w:rsidRPr="00833454">
        <w:rPr>
          <w:rFonts w:cstheme="minorHAnsi"/>
          <w:i/>
          <w:sz w:val="20"/>
          <w:szCs w:val="20"/>
          <w:lang w:val="en-GB"/>
        </w:rPr>
        <w:t>Party Politics, 14</w:t>
      </w:r>
      <w:r w:rsidRPr="00833454">
        <w:rPr>
          <w:rFonts w:cstheme="minorHAnsi"/>
          <w:sz w:val="20"/>
          <w:szCs w:val="20"/>
          <w:lang w:val="en-GB"/>
        </w:rPr>
        <w:t>(4), 455-477.</w:t>
      </w:r>
    </w:p>
    <w:p w14:paraId="53CC2D9C" w14:textId="77777777" w:rsidR="00A40CB8" w:rsidRPr="00AD644F" w:rsidRDefault="00A40CB8" w:rsidP="00833454">
      <w:pPr>
        <w:spacing w:after="0" w:line="240" w:lineRule="auto"/>
        <w:ind w:hanging="284"/>
        <w:jc w:val="both"/>
        <w:rPr>
          <w:rFonts w:cstheme="minorHAnsi"/>
          <w:sz w:val="20"/>
          <w:szCs w:val="20"/>
          <w:lang w:val="en-GB"/>
        </w:rPr>
      </w:pPr>
      <w:proofErr w:type="spellStart"/>
      <w:r w:rsidRPr="00AD644F">
        <w:rPr>
          <w:rFonts w:cstheme="minorHAnsi"/>
          <w:sz w:val="20"/>
          <w:szCs w:val="20"/>
          <w:lang w:val="en-GB"/>
        </w:rPr>
        <w:t>Frendreis</w:t>
      </w:r>
      <w:proofErr w:type="spellEnd"/>
      <w:r w:rsidRPr="00AD644F">
        <w:rPr>
          <w:rFonts w:cstheme="minorHAnsi"/>
          <w:sz w:val="20"/>
          <w:szCs w:val="20"/>
          <w:lang w:val="en-GB"/>
        </w:rPr>
        <w:t xml:space="preserve"> J.P., Gibson, J.L. &amp; </w:t>
      </w:r>
      <w:proofErr w:type="spellStart"/>
      <w:r w:rsidRPr="00AD644F">
        <w:rPr>
          <w:rFonts w:cstheme="minorHAnsi"/>
          <w:sz w:val="20"/>
          <w:szCs w:val="20"/>
          <w:lang w:val="en-GB"/>
        </w:rPr>
        <w:t>Vertz</w:t>
      </w:r>
      <w:proofErr w:type="spellEnd"/>
      <w:r w:rsidRPr="00AD644F">
        <w:rPr>
          <w:rFonts w:cstheme="minorHAnsi"/>
          <w:sz w:val="20"/>
          <w:szCs w:val="20"/>
          <w:lang w:val="en-GB"/>
        </w:rPr>
        <w:t>, L.L. (1990). The electoral relevance of local party organizations. The American Political Science Review, 84(1), 225-235.</w:t>
      </w:r>
    </w:p>
    <w:p w14:paraId="5AFEA5B8" w14:textId="77777777" w:rsidR="00A40CB8" w:rsidRPr="00AD644F" w:rsidRDefault="00A40CB8" w:rsidP="00833454">
      <w:pPr>
        <w:spacing w:after="0" w:line="240" w:lineRule="auto"/>
        <w:ind w:hanging="284"/>
        <w:jc w:val="both"/>
        <w:rPr>
          <w:rFonts w:cstheme="minorHAnsi"/>
          <w:sz w:val="20"/>
          <w:szCs w:val="20"/>
          <w:lang w:val="en-GB"/>
        </w:rPr>
      </w:pPr>
      <w:proofErr w:type="spellStart"/>
      <w:r w:rsidRPr="00AD644F">
        <w:rPr>
          <w:rFonts w:cstheme="minorHAnsi"/>
          <w:sz w:val="20"/>
          <w:szCs w:val="20"/>
          <w:lang w:val="en-GB"/>
        </w:rPr>
        <w:t>Gemenis</w:t>
      </w:r>
      <w:proofErr w:type="spellEnd"/>
      <w:r w:rsidRPr="00AD644F">
        <w:rPr>
          <w:rFonts w:cstheme="minorHAnsi"/>
          <w:sz w:val="20"/>
          <w:szCs w:val="20"/>
          <w:lang w:val="en-GB"/>
        </w:rPr>
        <w:t xml:space="preserve">, K. &amp; </w:t>
      </w:r>
      <w:proofErr w:type="spellStart"/>
      <w:r w:rsidRPr="00AD644F">
        <w:rPr>
          <w:rFonts w:cstheme="minorHAnsi"/>
          <w:sz w:val="20"/>
          <w:szCs w:val="20"/>
          <w:lang w:val="en-GB"/>
        </w:rPr>
        <w:t>Dinas</w:t>
      </w:r>
      <w:proofErr w:type="spellEnd"/>
      <w:r w:rsidRPr="00AD644F">
        <w:rPr>
          <w:rFonts w:cstheme="minorHAnsi"/>
          <w:sz w:val="20"/>
          <w:szCs w:val="20"/>
          <w:lang w:val="en-GB"/>
        </w:rPr>
        <w:t>, E. (2010). Confrontation still? Examining parties' policy positions in Greece. Comparative European Politics, 8(2), 179-201.</w:t>
      </w:r>
    </w:p>
    <w:p w14:paraId="76285AD5" w14:textId="77777777" w:rsidR="00A40CB8" w:rsidRDefault="00A40CB8" w:rsidP="00833454">
      <w:pPr>
        <w:spacing w:after="0" w:line="240" w:lineRule="auto"/>
        <w:ind w:hanging="284"/>
        <w:jc w:val="both"/>
        <w:rPr>
          <w:sz w:val="20"/>
          <w:szCs w:val="20"/>
          <w:lang w:val="en-GB"/>
        </w:rPr>
      </w:pPr>
      <w:r w:rsidRPr="00AD644F">
        <w:rPr>
          <w:sz w:val="20"/>
          <w:szCs w:val="20"/>
          <w:lang w:val="en-GB"/>
        </w:rPr>
        <w:t xml:space="preserve">Goldsmith, M. &amp; Page, E. (2010). Conclusions. In M. Goldsmith &amp; E. Page (Eds.), </w:t>
      </w:r>
      <w:r w:rsidRPr="00AD644F">
        <w:rPr>
          <w:i/>
          <w:sz w:val="20"/>
          <w:szCs w:val="20"/>
          <w:lang w:val="en-GB"/>
        </w:rPr>
        <w:t xml:space="preserve">Changing Government Relations in Europe. From Localism to </w:t>
      </w:r>
      <w:proofErr w:type="spellStart"/>
      <w:r w:rsidRPr="00AD644F">
        <w:rPr>
          <w:i/>
          <w:sz w:val="20"/>
          <w:szCs w:val="20"/>
          <w:lang w:val="en-GB"/>
        </w:rPr>
        <w:t>Intergovernmentalism</w:t>
      </w:r>
      <w:proofErr w:type="spellEnd"/>
      <w:r w:rsidRPr="00AD644F">
        <w:rPr>
          <w:sz w:val="20"/>
          <w:szCs w:val="20"/>
          <w:lang w:val="en-GB"/>
        </w:rPr>
        <w:t xml:space="preserve"> (pp. 247-260). London: Routledge. </w:t>
      </w:r>
    </w:p>
    <w:p w14:paraId="5AD18B9B" w14:textId="77777777" w:rsidR="005615E9" w:rsidRDefault="00A40CB8" w:rsidP="00833454">
      <w:pPr>
        <w:spacing w:after="0" w:line="240" w:lineRule="auto"/>
        <w:ind w:hanging="284"/>
        <w:jc w:val="both"/>
        <w:rPr>
          <w:sz w:val="20"/>
          <w:szCs w:val="20"/>
          <w:lang w:val="en-GB"/>
        </w:rPr>
      </w:pPr>
      <w:r w:rsidRPr="00833454">
        <w:rPr>
          <w:sz w:val="20"/>
          <w:szCs w:val="20"/>
          <w:lang w:val="en-GB"/>
        </w:rPr>
        <w:t xml:space="preserve">Gunther, R. &amp; Diamond, L. (2003). Species of Political Parties: A New Typology. </w:t>
      </w:r>
      <w:r w:rsidRPr="00833454">
        <w:rPr>
          <w:i/>
          <w:sz w:val="20"/>
          <w:szCs w:val="20"/>
          <w:lang w:val="en-GB"/>
        </w:rPr>
        <w:t>Party Politics, 9</w:t>
      </w:r>
      <w:r w:rsidRPr="00833454">
        <w:rPr>
          <w:sz w:val="20"/>
          <w:szCs w:val="20"/>
          <w:lang w:val="en-GB"/>
        </w:rPr>
        <w:t>(2), pp. 167-199.</w:t>
      </w:r>
    </w:p>
    <w:p w14:paraId="1C10E051" w14:textId="33E5A86E" w:rsidR="00A40CB8" w:rsidRPr="005615E9" w:rsidRDefault="00A40CB8" w:rsidP="00833454">
      <w:pPr>
        <w:spacing w:after="0" w:line="240" w:lineRule="auto"/>
        <w:ind w:hanging="284"/>
        <w:jc w:val="both"/>
        <w:rPr>
          <w:sz w:val="20"/>
          <w:szCs w:val="20"/>
          <w:lang w:val="en-GB"/>
        </w:rPr>
      </w:pPr>
      <w:proofErr w:type="spellStart"/>
      <w:r w:rsidRPr="00833454">
        <w:rPr>
          <w:sz w:val="20"/>
          <w:szCs w:val="20"/>
          <w:lang w:val="en-GB"/>
        </w:rPr>
        <w:t>Heidar</w:t>
      </w:r>
      <w:proofErr w:type="spellEnd"/>
      <w:r w:rsidRPr="00833454">
        <w:rPr>
          <w:sz w:val="20"/>
          <w:szCs w:val="20"/>
          <w:lang w:val="en-GB"/>
        </w:rPr>
        <w:t xml:space="preserve">, K., </w:t>
      </w:r>
      <w:proofErr w:type="spellStart"/>
      <w:r w:rsidRPr="00833454">
        <w:rPr>
          <w:sz w:val="20"/>
          <w:szCs w:val="20"/>
          <w:lang w:val="en-GB"/>
        </w:rPr>
        <w:t>Kosiara</w:t>
      </w:r>
      <w:proofErr w:type="spellEnd"/>
      <w:r w:rsidRPr="00833454">
        <w:rPr>
          <w:sz w:val="20"/>
          <w:szCs w:val="20"/>
          <w:lang w:val="en-GB"/>
        </w:rPr>
        <w:t xml:space="preserve">-Pedersen, K. &amp; </w:t>
      </w:r>
      <w:proofErr w:type="spellStart"/>
      <w:r w:rsidRPr="00833454">
        <w:rPr>
          <w:sz w:val="20"/>
          <w:szCs w:val="20"/>
          <w:lang w:val="en-GB"/>
        </w:rPr>
        <w:t>Saglie</w:t>
      </w:r>
      <w:proofErr w:type="spellEnd"/>
      <w:r w:rsidRPr="00833454">
        <w:rPr>
          <w:sz w:val="20"/>
          <w:szCs w:val="20"/>
          <w:lang w:val="en-GB"/>
        </w:rPr>
        <w:t xml:space="preserve">, J. (2012). Party Change and Party Member Participation in Denmark and Norway. In J. </w:t>
      </w:r>
      <w:proofErr w:type="spellStart"/>
      <w:r w:rsidRPr="00833454">
        <w:rPr>
          <w:sz w:val="20"/>
          <w:szCs w:val="20"/>
          <w:lang w:val="en-GB"/>
        </w:rPr>
        <w:t>Blom</w:t>
      </w:r>
      <w:proofErr w:type="spellEnd"/>
      <w:r w:rsidRPr="00833454">
        <w:rPr>
          <w:sz w:val="20"/>
          <w:szCs w:val="20"/>
          <w:lang w:val="en-GB"/>
        </w:rPr>
        <w:t xml:space="preserve">-Hansen, C. Green-Pedersen &amp; S-E. </w:t>
      </w:r>
      <w:proofErr w:type="spellStart"/>
      <w:r w:rsidRPr="00833454">
        <w:rPr>
          <w:sz w:val="20"/>
          <w:szCs w:val="20"/>
          <w:lang w:val="en-GB"/>
        </w:rPr>
        <w:t>Skaanning</w:t>
      </w:r>
      <w:proofErr w:type="spellEnd"/>
      <w:r w:rsidRPr="00833454">
        <w:rPr>
          <w:sz w:val="20"/>
          <w:szCs w:val="20"/>
          <w:lang w:val="en-GB"/>
        </w:rPr>
        <w:t xml:space="preserve"> (reds.), </w:t>
      </w:r>
      <w:r w:rsidRPr="00833454">
        <w:rPr>
          <w:i/>
          <w:sz w:val="20"/>
          <w:szCs w:val="20"/>
          <w:lang w:val="en-GB"/>
        </w:rPr>
        <w:t>Democracy, Elections and Political Parties</w:t>
      </w:r>
      <w:r w:rsidRPr="00833454">
        <w:rPr>
          <w:sz w:val="20"/>
          <w:szCs w:val="20"/>
          <w:lang w:val="en-GB"/>
        </w:rPr>
        <w:t xml:space="preserve"> (pp. 155-163). Aarhus: </w:t>
      </w:r>
      <w:proofErr w:type="spellStart"/>
      <w:r w:rsidRPr="00833454">
        <w:rPr>
          <w:sz w:val="20"/>
          <w:szCs w:val="20"/>
          <w:lang w:val="en-GB"/>
        </w:rPr>
        <w:t>Politica</w:t>
      </w:r>
      <w:proofErr w:type="spellEnd"/>
      <w:r w:rsidRPr="00833454">
        <w:rPr>
          <w:sz w:val="20"/>
          <w:szCs w:val="20"/>
          <w:lang w:val="en-GB"/>
        </w:rPr>
        <w:t>.</w:t>
      </w:r>
    </w:p>
    <w:p w14:paraId="4E7A3B8C" w14:textId="77777777" w:rsidR="00A40CB8" w:rsidRPr="00150E93" w:rsidRDefault="00A40CB8" w:rsidP="00833454">
      <w:pPr>
        <w:spacing w:after="0" w:line="240" w:lineRule="auto"/>
        <w:ind w:hanging="284"/>
        <w:jc w:val="both"/>
        <w:rPr>
          <w:sz w:val="20"/>
          <w:szCs w:val="20"/>
          <w:lang w:val="en-US"/>
        </w:rPr>
      </w:pPr>
      <w:proofErr w:type="spellStart"/>
      <w:r w:rsidRPr="00AD644F">
        <w:rPr>
          <w:sz w:val="20"/>
          <w:szCs w:val="20"/>
          <w:lang w:val="en-GB"/>
        </w:rPr>
        <w:t>Hajnal</w:t>
      </w:r>
      <w:proofErr w:type="spellEnd"/>
      <w:r w:rsidRPr="00AD644F">
        <w:rPr>
          <w:sz w:val="20"/>
          <w:szCs w:val="20"/>
          <w:lang w:val="en-GB"/>
        </w:rPr>
        <w:t xml:space="preserve">, Z. &amp; </w:t>
      </w:r>
      <w:proofErr w:type="spellStart"/>
      <w:r w:rsidRPr="00AD644F">
        <w:rPr>
          <w:sz w:val="20"/>
          <w:szCs w:val="20"/>
          <w:lang w:val="en-GB"/>
        </w:rPr>
        <w:t>Trounstine</w:t>
      </w:r>
      <w:proofErr w:type="spellEnd"/>
      <w:r w:rsidRPr="00AD644F">
        <w:rPr>
          <w:sz w:val="20"/>
          <w:szCs w:val="20"/>
          <w:lang w:val="en-GB"/>
        </w:rPr>
        <w:t xml:space="preserve">, J. (2014). What Underlies Urban Politics? Race, Class, Ideology, Partisanship, and the Urban Vote. </w:t>
      </w:r>
      <w:r w:rsidRPr="00150E93">
        <w:rPr>
          <w:i/>
          <w:sz w:val="20"/>
          <w:szCs w:val="20"/>
          <w:lang w:val="en-US"/>
        </w:rPr>
        <w:t>Urban Affairs Review, 50</w:t>
      </w:r>
      <w:r w:rsidRPr="00150E93">
        <w:rPr>
          <w:sz w:val="20"/>
          <w:szCs w:val="20"/>
          <w:lang w:val="en-US"/>
        </w:rPr>
        <w:t xml:space="preserve">(1), 63-99. </w:t>
      </w:r>
    </w:p>
    <w:p w14:paraId="424B4592" w14:textId="77777777" w:rsidR="00A40CB8" w:rsidRPr="00C42A7D" w:rsidRDefault="00A40CB8" w:rsidP="00833454">
      <w:pPr>
        <w:spacing w:after="0" w:line="240" w:lineRule="auto"/>
        <w:ind w:hanging="284"/>
        <w:jc w:val="both"/>
        <w:rPr>
          <w:rFonts w:cs="Calibri"/>
          <w:sz w:val="20"/>
          <w:szCs w:val="20"/>
          <w:lang w:val="en-GB"/>
        </w:rPr>
      </w:pPr>
      <w:proofErr w:type="spellStart"/>
      <w:r w:rsidRPr="00150E93">
        <w:rPr>
          <w:rFonts w:cs="Calibri"/>
          <w:sz w:val="20"/>
          <w:szCs w:val="20"/>
          <w:lang w:val="en-US"/>
        </w:rPr>
        <w:t>Janda</w:t>
      </w:r>
      <w:proofErr w:type="spellEnd"/>
      <w:r w:rsidRPr="00150E93">
        <w:rPr>
          <w:rFonts w:cs="Calibri"/>
          <w:sz w:val="20"/>
          <w:szCs w:val="20"/>
          <w:lang w:val="en-US"/>
        </w:rPr>
        <w:t xml:space="preserve">, K., </w:t>
      </w:r>
      <w:proofErr w:type="spellStart"/>
      <w:r w:rsidRPr="00150E93">
        <w:rPr>
          <w:rFonts w:cs="Calibri"/>
          <w:sz w:val="20"/>
          <w:szCs w:val="20"/>
          <w:lang w:val="en-US"/>
        </w:rPr>
        <w:t>Harmel</w:t>
      </w:r>
      <w:proofErr w:type="spellEnd"/>
      <w:r w:rsidRPr="00150E93">
        <w:rPr>
          <w:rFonts w:cs="Calibri"/>
          <w:sz w:val="20"/>
          <w:szCs w:val="20"/>
          <w:lang w:val="en-US"/>
        </w:rPr>
        <w:t xml:space="preserve">, R., </w:t>
      </w:r>
      <w:proofErr w:type="spellStart"/>
      <w:r w:rsidRPr="00150E93">
        <w:rPr>
          <w:rFonts w:cs="Calibri"/>
          <w:sz w:val="20"/>
          <w:szCs w:val="20"/>
          <w:lang w:val="en-US"/>
        </w:rPr>
        <w:t>Edens</w:t>
      </w:r>
      <w:proofErr w:type="spellEnd"/>
      <w:r w:rsidRPr="00150E93">
        <w:rPr>
          <w:rFonts w:cs="Calibri"/>
          <w:sz w:val="20"/>
          <w:szCs w:val="20"/>
          <w:lang w:val="en-US"/>
        </w:rPr>
        <w:t xml:space="preserve">, C. &amp; Goff, G. (1995). </w:t>
      </w:r>
      <w:r w:rsidRPr="00C42A7D">
        <w:rPr>
          <w:rFonts w:cs="Calibri"/>
          <w:sz w:val="20"/>
          <w:szCs w:val="20"/>
          <w:lang w:val="en-GB"/>
        </w:rPr>
        <w:t>Changes in party identity. Evidence from party manifestos. Party Politics, 1: 171-196.</w:t>
      </w:r>
    </w:p>
    <w:p w14:paraId="71863B2A" w14:textId="77777777" w:rsidR="00A40CB8" w:rsidRPr="00AD644F" w:rsidRDefault="00A40CB8" w:rsidP="00833454">
      <w:pPr>
        <w:spacing w:after="0" w:line="240" w:lineRule="auto"/>
        <w:ind w:hanging="284"/>
        <w:jc w:val="both"/>
        <w:rPr>
          <w:rFonts w:cstheme="minorHAnsi"/>
          <w:sz w:val="20"/>
          <w:szCs w:val="20"/>
          <w:lang w:val="en-GB"/>
        </w:rPr>
      </w:pPr>
      <w:r w:rsidRPr="00AD644F">
        <w:rPr>
          <w:rFonts w:cstheme="minorHAnsi"/>
          <w:sz w:val="20"/>
          <w:szCs w:val="20"/>
          <w:lang w:val="en-GB"/>
        </w:rPr>
        <w:lastRenderedPageBreak/>
        <w:t xml:space="preserve">Kjaer, U. &amp; </w:t>
      </w:r>
      <w:proofErr w:type="spellStart"/>
      <w:r w:rsidRPr="00AD644F">
        <w:rPr>
          <w:rFonts w:cstheme="minorHAnsi"/>
          <w:sz w:val="20"/>
          <w:szCs w:val="20"/>
          <w:lang w:val="en-GB"/>
        </w:rPr>
        <w:t>Elklit</w:t>
      </w:r>
      <w:proofErr w:type="spellEnd"/>
      <w:r w:rsidRPr="00AD644F">
        <w:rPr>
          <w:rFonts w:cstheme="minorHAnsi"/>
          <w:sz w:val="20"/>
          <w:szCs w:val="20"/>
          <w:lang w:val="en-GB"/>
        </w:rPr>
        <w:t>, J. (2010a). Local party system nationalisation: Does municipal size matter? Local Government Studies, 36 (3), 425-444.</w:t>
      </w:r>
    </w:p>
    <w:p w14:paraId="2133D897" w14:textId="77777777" w:rsidR="00A40CB8" w:rsidRPr="00AD644F" w:rsidRDefault="00A40CB8" w:rsidP="00833454">
      <w:pPr>
        <w:spacing w:after="0" w:line="240" w:lineRule="auto"/>
        <w:ind w:hanging="284"/>
        <w:jc w:val="both"/>
        <w:rPr>
          <w:sz w:val="20"/>
          <w:szCs w:val="20"/>
          <w:lang w:val="en-GB"/>
        </w:rPr>
      </w:pPr>
      <w:proofErr w:type="spellStart"/>
      <w:r w:rsidRPr="00AD644F">
        <w:rPr>
          <w:sz w:val="20"/>
          <w:szCs w:val="20"/>
          <w:lang w:val="en-GB"/>
        </w:rPr>
        <w:t>Kjellberg</w:t>
      </w:r>
      <w:proofErr w:type="spellEnd"/>
      <w:r w:rsidRPr="00AD644F">
        <w:rPr>
          <w:sz w:val="20"/>
          <w:szCs w:val="20"/>
          <w:lang w:val="en-GB"/>
        </w:rPr>
        <w:t xml:space="preserve">, F. (1995). The Changing Values of Local Government. </w:t>
      </w:r>
      <w:r w:rsidRPr="00AD644F">
        <w:rPr>
          <w:i/>
          <w:sz w:val="20"/>
          <w:szCs w:val="20"/>
          <w:lang w:val="en-GB"/>
        </w:rPr>
        <w:t>Annals of the American Academy of Political and Social Science</w:t>
      </w:r>
      <w:r w:rsidRPr="00AD644F">
        <w:rPr>
          <w:sz w:val="20"/>
          <w:szCs w:val="20"/>
          <w:lang w:val="en-GB"/>
        </w:rPr>
        <w:t xml:space="preserve">, </w:t>
      </w:r>
      <w:r w:rsidRPr="00AD644F">
        <w:rPr>
          <w:i/>
          <w:sz w:val="20"/>
          <w:szCs w:val="20"/>
          <w:lang w:val="en-GB"/>
        </w:rPr>
        <w:t>540</w:t>
      </w:r>
      <w:r w:rsidRPr="00AD644F">
        <w:rPr>
          <w:sz w:val="20"/>
          <w:szCs w:val="20"/>
          <w:lang w:val="en-GB"/>
        </w:rPr>
        <w:t>, 40-50.</w:t>
      </w:r>
    </w:p>
    <w:p w14:paraId="5D08DB2A" w14:textId="77777777" w:rsidR="00A40CB8" w:rsidRDefault="00A40CB8" w:rsidP="00833454">
      <w:pPr>
        <w:spacing w:after="0" w:line="240" w:lineRule="auto"/>
        <w:ind w:hanging="284"/>
        <w:jc w:val="both"/>
        <w:rPr>
          <w:rFonts w:cstheme="minorHAnsi"/>
          <w:sz w:val="20"/>
          <w:szCs w:val="20"/>
          <w:lang w:val="en-GB"/>
        </w:rPr>
      </w:pPr>
      <w:proofErr w:type="spellStart"/>
      <w:r w:rsidRPr="00AD644F">
        <w:rPr>
          <w:rFonts w:cstheme="minorHAnsi"/>
          <w:sz w:val="20"/>
          <w:szCs w:val="20"/>
        </w:rPr>
        <w:t>Klingemann</w:t>
      </w:r>
      <w:proofErr w:type="spellEnd"/>
      <w:r w:rsidRPr="00AD644F">
        <w:rPr>
          <w:rFonts w:cstheme="minorHAnsi"/>
          <w:sz w:val="20"/>
          <w:szCs w:val="20"/>
        </w:rPr>
        <w:t xml:space="preserve">, H-D., </w:t>
      </w:r>
      <w:proofErr w:type="spellStart"/>
      <w:r w:rsidRPr="00AD644F">
        <w:rPr>
          <w:rFonts w:cstheme="minorHAnsi"/>
          <w:sz w:val="20"/>
          <w:szCs w:val="20"/>
        </w:rPr>
        <w:t>Volkens</w:t>
      </w:r>
      <w:proofErr w:type="spellEnd"/>
      <w:r w:rsidRPr="00AD644F">
        <w:rPr>
          <w:rFonts w:cstheme="minorHAnsi"/>
          <w:sz w:val="20"/>
          <w:szCs w:val="20"/>
        </w:rPr>
        <w:t xml:space="preserve">, A., </w:t>
      </w:r>
      <w:proofErr w:type="spellStart"/>
      <w:r w:rsidRPr="00AD644F">
        <w:rPr>
          <w:rFonts w:cstheme="minorHAnsi"/>
          <w:sz w:val="20"/>
          <w:szCs w:val="20"/>
        </w:rPr>
        <w:t>Bara</w:t>
      </w:r>
      <w:proofErr w:type="spellEnd"/>
      <w:r w:rsidRPr="00AD644F">
        <w:rPr>
          <w:rFonts w:cstheme="minorHAnsi"/>
          <w:sz w:val="20"/>
          <w:szCs w:val="20"/>
        </w:rPr>
        <w:t xml:space="preserve">, J., </w:t>
      </w:r>
      <w:proofErr w:type="spellStart"/>
      <w:r w:rsidRPr="00AD644F">
        <w:rPr>
          <w:rFonts w:cstheme="minorHAnsi"/>
          <w:sz w:val="20"/>
          <w:szCs w:val="20"/>
        </w:rPr>
        <w:t>Budge</w:t>
      </w:r>
      <w:proofErr w:type="spellEnd"/>
      <w:r w:rsidRPr="00AD644F">
        <w:rPr>
          <w:rFonts w:cstheme="minorHAnsi"/>
          <w:sz w:val="20"/>
          <w:szCs w:val="20"/>
        </w:rPr>
        <w:t xml:space="preserve">, I. &amp; </w:t>
      </w:r>
      <w:proofErr w:type="spellStart"/>
      <w:r w:rsidRPr="00AD644F">
        <w:rPr>
          <w:rFonts w:cstheme="minorHAnsi"/>
          <w:sz w:val="20"/>
          <w:szCs w:val="20"/>
        </w:rPr>
        <w:t>McDonald</w:t>
      </w:r>
      <w:proofErr w:type="spellEnd"/>
      <w:r w:rsidRPr="00AD644F">
        <w:rPr>
          <w:rFonts w:cstheme="minorHAnsi"/>
          <w:sz w:val="20"/>
          <w:szCs w:val="20"/>
        </w:rPr>
        <w:t xml:space="preserve">, M. (2006). </w:t>
      </w:r>
      <w:r w:rsidRPr="00AD644F">
        <w:rPr>
          <w:rFonts w:cstheme="minorHAnsi"/>
          <w:sz w:val="20"/>
          <w:szCs w:val="20"/>
          <w:lang w:val="en-GB"/>
        </w:rPr>
        <w:t>Mapping Policy Preferences II: Estimates for Parties, Electors, and Governments in Eastern Europe, the European Union and the OECD, 1990-2003. Oxford: Oxford University Press.</w:t>
      </w:r>
    </w:p>
    <w:p w14:paraId="3B4AD21B" w14:textId="77777777" w:rsidR="00833454" w:rsidRDefault="00A40CB8" w:rsidP="00833454">
      <w:pPr>
        <w:spacing w:after="0" w:line="240" w:lineRule="auto"/>
        <w:ind w:hanging="284"/>
        <w:jc w:val="both"/>
        <w:rPr>
          <w:sz w:val="20"/>
          <w:szCs w:val="20"/>
          <w:lang w:val="en-GB"/>
        </w:rPr>
      </w:pPr>
      <w:proofErr w:type="spellStart"/>
      <w:r w:rsidRPr="00833454">
        <w:rPr>
          <w:sz w:val="20"/>
          <w:szCs w:val="20"/>
          <w:lang w:val="en-GB"/>
        </w:rPr>
        <w:t>Krouwel</w:t>
      </w:r>
      <w:proofErr w:type="spellEnd"/>
      <w:r w:rsidRPr="00833454">
        <w:rPr>
          <w:sz w:val="20"/>
          <w:szCs w:val="20"/>
          <w:lang w:val="en-GB"/>
        </w:rPr>
        <w:t xml:space="preserve">, A. (2006). Party Models. In R. Katz &amp; W. Crotty (Eds.), </w:t>
      </w:r>
      <w:r w:rsidRPr="00833454">
        <w:rPr>
          <w:i/>
          <w:sz w:val="20"/>
          <w:szCs w:val="20"/>
          <w:lang w:val="en-GB"/>
        </w:rPr>
        <w:t>Handbook of Party Politics</w:t>
      </w:r>
      <w:r w:rsidRPr="00833454">
        <w:rPr>
          <w:sz w:val="20"/>
          <w:szCs w:val="20"/>
          <w:lang w:val="en-GB"/>
        </w:rPr>
        <w:t xml:space="preserve"> (pp. 249-269). London: Sage.</w:t>
      </w:r>
    </w:p>
    <w:p w14:paraId="6D99C4ED" w14:textId="406B2143" w:rsidR="005615E9" w:rsidRDefault="00A40CB8" w:rsidP="00833454">
      <w:pPr>
        <w:spacing w:after="0" w:line="240" w:lineRule="auto"/>
        <w:ind w:hanging="284"/>
        <w:jc w:val="both"/>
        <w:rPr>
          <w:rFonts w:cs="Bembo"/>
          <w:lang w:val="en-US"/>
        </w:rPr>
      </w:pPr>
      <w:r w:rsidRPr="00AD644F">
        <w:rPr>
          <w:sz w:val="20"/>
          <w:szCs w:val="20"/>
          <w:lang w:val="en-GB"/>
        </w:rPr>
        <w:t xml:space="preserve">Lago, I. &amp; Montero, J. (2014). Defining and Measuring Party System Nationalization. </w:t>
      </w:r>
      <w:r w:rsidRPr="00AD644F">
        <w:rPr>
          <w:i/>
          <w:sz w:val="20"/>
          <w:szCs w:val="20"/>
          <w:lang w:val="en-GB"/>
        </w:rPr>
        <w:t>European Political Science Review, 6</w:t>
      </w:r>
      <w:r w:rsidRPr="00AD644F">
        <w:rPr>
          <w:sz w:val="20"/>
          <w:szCs w:val="20"/>
          <w:lang w:val="en-GB"/>
        </w:rPr>
        <w:t>(2), pp. 191-211.</w:t>
      </w:r>
      <w:r w:rsidRPr="00D24364">
        <w:rPr>
          <w:rFonts w:cs="Bembo"/>
          <w:lang w:val="en-US"/>
        </w:rPr>
        <w:t xml:space="preserve"> </w:t>
      </w:r>
    </w:p>
    <w:p w14:paraId="6C3FE627" w14:textId="7C3B50AF" w:rsidR="00A40CB8" w:rsidRPr="00AD644F" w:rsidRDefault="00A40CB8" w:rsidP="00833454">
      <w:pPr>
        <w:spacing w:after="0" w:line="240" w:lineRule="auto"/>
        <w:ind w:hanging="284"/>
        <w:jc w:val="both"/>
        <w:rPr>
          <w:sz w:val="20"/>
          <w:szCs w:val="20"/>
          <w:lang w:val="en-GB"/>
        </w:rPr>
      </w:pPr>
      <w:proofErr w:type="spellStart"/>
      <w:r w:rsidRPr="00833454">
        <w:rPr>
          <w:sz w:val="20"/>
          <w:szCs w:val="20"/>
          <w:lang w:val="en-GB"/>
        </w:rPr>
        <w:t>LeDuc</w:t>
      </w:r>
      <w:proofErr w:type="spellEnd"/>
      <w:r w:rsidRPr="00833454">
        <w:rPr>
          <w:sz w:val="20"/>
          <w:szCs w:val="20"/>
          <w:lang w:val="en-GB"/>
        </w:rPr>
        <w:t xml:space="preserve">, L. (2001). Democratizing party leadership selection. </w:t>
      </w:r>
      <w:r w:rsidRPr="00833454">
        <w:rPr>
          <w:i/>
          <w:sz w:val="20"/>
          <w:szCs w:val="20"/>
          <w:lang w:val="en-GB"/>
        </w:rPr>
        <w:t>Party Politics, 7</w:t>
      </w:r>
      <w:r w:rsidRPr="00833454">
        <w:rPr>
          <w:sz w:val="20"/>
          <w:szCs w:val="20"/>
          <w:lang w:val="en-GB"/>
        </w:rPr>
        <w:t>(3), 323-341.</w:t>
      </w:r>
    </w:p>
    <w:p w14:paraId="5C5F3352" w14:textId="77777777" w:rsidR="00E035D2" w:rsidRDefault="00A40CB8" w:rsidP="00E035D2">
      <w:pPr>
        <w:spacing w:after="0" w:line="240" w:lineRule="auto"/>
        <w:ind w:hanging="284"/>
        <w:jc w:val="both"/>
        <w:rPr>
          <w:i/>
          <w:sz w:val="20"/>
          <w:szCs w:val="20"/>
          <w:lang w:val="en-GB"/>
        </w:rPr>
      </w:pPr>
      <w:proofErr w:type="spellStart"/>
      <w:r w:rsidRPr="001D2CB3">
        <w:rPr>
          <w:sz w:val="20"/>
          <w:szCs w:val="20"/>
          <w:lang w:val="en-US"/>
        </w:rPr>
        <w:t>Marien</w:t>
      </w:r>
      <w:proofErr w:type="spellEnd"/>
      <w:r w:rsidRPr="001D2CB3">
        <w:rPr>
          <w:sz w:val="20"/>
          <w:szCs w:val="20"/>
          <w:lang w:val="en-US"/>
        </w:rPr>
        <w:t xml:space="preserve">, S., </w:t>
      </w:r>
      <w:proofErr w:type="spellStart"/>
      <w:r w:rsidRPr="001D2CB3">
        <w:rPr>
          <w:sz w:val="20"/>
          <w:szCs w:val="20"/>
          <w:lang w:val="en-US"/>
        </w:rPr>
        <w:t>Dassonneville</w:t>
      </w:r>
      <w:proofErr w:type="spellEnd"/>
      <w:r w:rsidRPr="001D2CB3">
        <w:rPr>
          <w:sz w:val="20"/>
          <w:szCs w:val="20"/>
          <w:lang w:val="en-US"/>
        </w:rPr>
        <w:t xml:space="preserve">, R. &amp; Hooghe, M. (2015). </w:t>
      </w:r>
      <w:r w:rsidRPr="00AD644F">
        <w:rPr>
          <w:sz w:val="20"/>
          <w:szCs w:val="20"/>
          <w:lang w:val="en-GB"/>
        </w:rPr>
        <w:t xml:space="preserve">How Second Order Are Local Elections? Voting Motives and Party Preferences in Belgian Municipal Elections. </w:t>
      </w:r>
      <w:r w:rsidRPr="00AD644F">
        <w:rPr>
          <w:i/>
          <w:sz w:val="20"/>
          <w:szCs w:val="20"/>
          <w:lang w:val="en-GB"/>
        </w:rPr>
        <w:t xml:space="preserve">Local Government Studies, 41. DOI: 10.1080/03003930.2015.1048230. </w:t>
      </w:r>
    </w:p>
    <w:p w14:paraId="11D26B24" w14:textId="7023D0F3" w:rsidR="005615E9" w:rsidRPr="00E035D2" w:rsidRDefault="00A40CB8" w:rsidP="00E035D2">
      <w:pPr>
        <w:spacing w:after="0" w:line="240" w:lineRule="auto"/>
        <w:ind w:hanging="284"/>
        <w:jc w:val="both"/>
        <w:rPr>
          <w:i/>
          <w:sz w:val="20"/>
          <w:szCs w:val="20"/>
          <w:lang w:val="en-GB"/>
        </w:rPr>
      </w:pPr>
      <w:proofErr w:type="spellStart"/>
      <w:r w:rsidRPr="00833454">
        <w:rPr>
          <w:rFonts w:cs="Calibri"/>
          <w:sz w:val="20"/>
          <w:szCs w:val="20"/>
          <w:lang w:val="en-US"/>
        </w:rPr>
        <w:t>Mair</w:t>
      </w:r>
      <w:proofErr w:type="spellEnd"/>
      <w:r w:rsidRPr="00833454">
        <w:rPr>
          <w:rFonts w:cs="Calibri"/>
          <w:sz w:val="20"/>
          <w:szCs w:val="20"/>
          <w:lang w:val="en-US"/>
        </w:rPr>
        <w:t>, P</w:t>
      </w:r>
      <w:r w:rsidR="00E035D2">
        <w:rPr>
          <w:rFonts w:cs="Calibri"/>
          <w:sz w:val="20"/>
          <w:szCs w:val="20"/>
          <w:lang w:val="en-US"/>
        </w:rPr>
        <w:t>.</w:t>
      </w:r>
      <w:r w:rsidRPr="00833454">
        <w:rPr>
          <w:rFonts w:cs="Calibri"/>
          <w:sz w:val="20"/>
          <w:szCs w:val="20"/>
          <w:lang w:val="en-US"/>
        </w:rPr>
        <w:t xml:space="preserve"> (1999). New Political Parties in Long-Established Party Systems: How Successful Are They? In E. K. </w:t>
      </w:r>
      <w:proofErr w:type="spellStart"/>
      <w:r w:rsidRPr="00833454">
        <w:rPr>
          <w:rFonts w:cs="Calibri"/>
          <w:sz w:val="20"/>
          <w:szCs w:val="20"/>
          <w:lang w:val="en-US"/>
        </w:rPr>
        <w:t>Beukel</w:t>
      </w:r>
      <w:proofErr w:type="spellEnd"/>
      <w:r w:rsidRPr="00833454">
        <w:rPr>
          <w:rFonts w:cs="Calibri"/>
          <w:sz w:val="20"/>
          <w:szCs w:val="20"/>
          <w:lang w:val="en-US"/>
        </w:rPr>
        <w:t xml:space="preserve">, K. K. </w:t>
      </w:r>
      <w:proofErr w:type="spellStart"/>
      <w:r w:rsidRPr="00833454">
        <w:rPr>
          <w:rFonts w:cs="Calibri"/>
          <w:sz w:val="20"/>
          <w:szCs w:val="20"/>
          <w:lang w:val="en-US"/>
        </w:rPr>
        <w:t>Mouritzen</w:t>
      </w:r>
      <w:proofErr w:type="spellEnd"/>
      <w:r w:rsidRPr="00833454">
        <w:rPr>
          <w:rFonts w:cs="Calibri"/>
          <w:sz w:val="20"/>
          <w:szCs w:val="20"/>
          <w:lang w:val="en-US"/>
        </w:rPr>
        <w:t xml:space="preserve"> and P. E. Odense (eds.) </w:t>
      </w:r>
      <w:r w:rsidRPr="00833454">
        <w:rPr>
          <w:rFonts w:cs="Calibri"/>
          <w:i/>
          <w:sz w:val="20"/>
          <w:szCs w:val="20"/>
          <w:lang w:val="en-US"/>
        </w:rPr>
        <w:t xml:space="preserve">Elites, Parties and Democracy: Festschrift for Professor </w:t>
      </w:r>
      <w:proofErr w:type="spellStart"/>
      <w:r w:rsidRPr="00833454">
        <w:rPr>
          <w:rFonts w:cs="Calibri"/>
          <w:i/>
          <w:sz w:val="20"/>
          <w:szCs w:val="20"/>
          <w:lang w:val="en-US"/>
        </w:rPr>
        <w:t>Mogens</w:t>
      </w:r>
      <w:proofErr w:type="spellEnd"/>
      <w:r w:rsidRPr="00833454">
        <w:rPr>
          <w:rFonts w:cs="Calibri"/>
          <w:i/>
          <w:sz w:val="20"/>
          <w:szCs w:val="20"/>
          <w:lang w:val="en-US"/>
        </w:rPr>
        <w:t xml:space="preserve"> N. Pedersen</w:t>
      </w:r>
      <w:r w:rsidRPr="00833454">
        <w:rPr>
          <w:rFonts w:cs="Calibri"/>
          <w:sz w:val="20"/>
          <w:szCs w:val="20"/>
          <w:lang w:val="en-US"/>
        </w:rPr>
        <w:t xml:space="preserve"> (pp. 207-224). Odense: Odense University Press.</w:t>
      </w:r>
    </w:p>
    <w:p w14:paraId="6E556430" w14:textId="77777777" w:rsidR="005615E9" w:rsidRDefault="005615E9" w:rsidP="00833454">
      <w:pPr>
        <w:spacing w:after="0" w:line="240" w:lineRule="auto"/>
        <w:ind w:hanging="284"/>
        <w:jc w:val="both"/>
        <w:rPr>
          <w:rFonts w:cs="Calibri"/>
          <w:sz w:val="20"/>
          <w:szCs w:val="20"/>
          <w:lang w:val="en-US"/>
        </w:rPr>
      </w:pPr>
      <w:proofErr w:type="spellStart"/>
      <w:r>
        <w:rPr>
          <w:sz w:val="20"/>
          <w:szCs w:val="20"/>
          <w:lang w:val="en-US"/>
        </w:rPr>
        <w:t>M</w:t>
      </w:r>
      <w:r w:rsidR="00A40CB8" w:rsidRPr="00C42A7D">
        <w:rPr>
          <w:rFonts w:cs="Calibri"/>
          <w:sz w:val="20"/>
          <w:szCs w:val="20"/>
          <w:lang w:val="en-US"/>
        </w:rPr>
        <w:t>eguid</w:t>
      </w:r>
      <w:proofErr w:type="spellEnd"/>
      <w:r w:rsidR="00A40CB8" w:rsidRPr="00C42A7D">
        <w:rPr>
          <w:rFonts w:cs="Calibri"/>
          <w:sz w:val="20"/>
          <w:szCs w:val="20"/>
          <w:lang w:val="en-US"/>
        </w:rPr>
        <w:t>, B. (2005)</w:t>
      </w:r>
      <w:r w:rsidR="00A40CB8">
        <w:rPr>
          <w:rFonts w:cs="Calibri"/>
          <w:sz w:val="20"/>
          <w:szCs w:val="20"/>
          <w:lang w:val="en-US"/>
        </w:rPr>
        <w:t>.</w:t>
      </w:r>
      <w:r w:rsidR="00A40CB8" w:rsidRPr="00C42A7D">
        <w:rPr>
          <w:rFonts w:cs="Calibri"/>
          <w:sz w:val="20"/>
          <w:szCs w:val="20"/>
          <w:lang w:val="en-US"/>
        </w:rPr>
        <w:t xml:space="preserve"> Competition Between </w:t>
      </w:r>
      <w:proofErr w:type="spellStart"/>
      <w:r w:rsidR="00A40CB8" w:rsidRPr="00C42A7D">
        <w:rPr>
          <w:rFonts w:cs="Calibri"/>
          <w:sz w:val="20"/>
          <w:szCs w:val="20"/>
          <w:lang w:val="en-US"/>
        </w:rPr>
        <w:t>Unequals</w:t>
      </w:r>
      <w:proofErr w:type="spellEnd"/>
      <w:r w:rsidR="00A40CB8" w:rsidRPr="00C42A7D">
        <w:rPr>
          <w:rFonts w:cs="Calibri"/>
          <w:sz w:val="20"/>
          <w:szCs w:val="20"/>
          <w:lang w:val="en-US"/>
        </w:rPr>
        <w:t xml:space="preserve">: The Role of Mainstream Party Strategy in Niche Party </w:t>
      </w:r>
      <w:proofErr w:type="spellStart"/>
      <w:r w:rsidR="00A40CB8" w:rsidRPr="00C42A7D">
        <w:rPr>
          <w:rFonts w:cs="Calibri"/>
          <w:sz w:val="20"/>
          <w:szCs w:val="20"/>
          <w:lang w:val="en-US"/>
        </w:rPr>
        <w:t>Succes</w:t>
      </w:r>
      <w:proofErr w:type="spellEnd"/>
      <w:r w:rsidR="00A40CB8" w:rsidRPr="00C42A7D">
        <w:rPr>
          <w:rFonts w:cs="Calibri"/>
          <w:sz w:val="20"/>
          <w:szCs w:val="20"/>
          <w:lang w:val="en-US"/>
        </w:rPr>
        <w:t>. American Political Science Review</w:t>
      </w:r>
      <w:r w:rsidR="00A40CB8">
        <w:rPr>
          <w:rFonts w:cs="Calibri"/>
          <w:sz w:val="20"/>
          <w:szCs w:val="20"/>
          <w:lang w:val="en-US"/>
        </w:rPr>
        <w:t>,</w:t>
      </w:r>
      <w:r w:rsidR="00A40CB8" w:rsidRPr="00C42A7D">
        <w:rPr>
          <w:rFonts w:cs="Calibri"/>
          <w:sz w:val="20"/>
          <w:szCs w:val="20"/>
          <w:lang w:val="en-US"/>
        </w:rPr>
        <w:t xml:space="preserve"> 99</w:t>
      </w:r>
      <w:r w:rsidR="00A40CB8">
        <w:rPr>
          <w:rFonts w:cs="Calibri"/>
          <w:sz w:val="20"/>
          <w:szCs w:val="20"/>
          <w:lang w:val="en-US"/>
        </w:rPr>
        <w:t>,</w:t>
      </w:r>
      <w:r w:rsidR="00A40CB8" w:rsidRPr="00C42A7D">
        <w:rPr>
          <w:rFonts w:cs="Calibri"/>
          <w:sz w:val="20"/>
          <w:szCs w:val="20"/>
          <w:lang w:val="en-US"/>
        </w:rPr>
        <w:t xml:space="preserve"> 347-359.</w:t>
      </w:r>
    </w:p>
    <w:p w14:paraId="68F647A7" w14:textId="77777777" w:rsidR="005615E9" w:rsidRDefault="00A40CB8" w:rsidP="00833454">
      <w:pPr>
        <w:spacing w:after="0" w:line="240" w:lineRule="auto"/>
        <w:ind w:hanging="284"/>
        <w:jc w:val="both"/>
        <w:rPr>
          <w:sz w:val="20"/>
          <w:szCs w:val="20"/>
          <w:lang w:val="en-GB"/>
        </w:rPr>
      </w:pPr>
      <w:r w:rsidRPr="00AD644F">
        <w:rPr>
          <w:sz w:val="20"/>
          <w:szCs w:val="20"/>
          <w:lang w:val="en-GB"/>
        </w:rPr>
        <w:t xml:space="preserve">Morgenstern, S. &amp; Swindle, S. (2005). Are Politics Local? An Analysis of Voting Patterns in 23 Democracies. </w:t>
      </w:r>
      <w:r w:rsidRPr="00AD644F">
        <w:rPr>
          <w:i/>
          <w:sz w:val="20"/>
          <w:szCs w:val="20"/>
          <w:lang w:val="en-GB"/>
        </w:rPr>
        <w:t>Comparative Political Studies, 38</w:t>
      </w:r>
      <w:r w:rsidRPr="00AD644F">
        <w:rPr>
          <w:sz w:val="20"/>
          <w:szCs w:val="20"/>
          <w:lang w:val="en-GB"/>
        </w:rPr>
        <w:t xml:space="preserve">(2), 143-170.  </w:t>
      </w:r>
    </w:p>
    <w:p w14:paraId="02620C48" w14:textId="6DED16A6" w:rsidR="00A40CB8" w:rsidRPr="00AD644F" w:rsidRDefault="00A40CB8" w:rsidP="00833454">
      <w:pPr>
        <w:spacing w:after="0" w:line="240" w:lineRule="auto"/>
        <w:ind w:hanging="284"/>
        <w:jc w:val="both"/>
        <w:rPr>
          <w:sz w:val="20"/>
          <w:szCs w:val="20"/>
          <w:lang w:val="en-US"/>
        </w:rPr>
      </w:pPr>
      <w:proofErr w:type="spellStart"/>
      <w:r w:rsidRPr="00AD644F">
        <w:rPr>
          <w:sz w:val="20"/>
          <w:szCs w:val="20"/>
          <w:lang w:val="en-US"/>
        </w:rPr>
        <w:t>Mustillo</w:t>
      </w:r>
      <w:proofErr w:type="spellEnd"/>
      <w:r w:rsidRPr="00AD644F">
        <w:rPr>
          <w:sz w:val="20"/>
          <w:szCs w:val="20"/>
          <w:lang w:val="en-US"/>
        </w:rPr>
        <w:t xml:space="preserve">, T. &amp; </w:t>
      </w:r>
      <w:proofErr w:type="spellStart"/>
      <w:r w:rsidRPr="00AD644F">
        <w:rPr>
          <w:sz w:val="20"/>
          <w:szCs w:val="20"/>
          <w:lang w:val="en-US"/>
        </w:rPr>
        <w:t>Mustillo</w:t>
      </w:r>
      <w:proofErr w:type="spellEnd"/>
      <w:r w:rsidRPr="00AD644F">
        <w:rPr>
          <w:sz w:val="20"/>
          <w:szCs w:val="20"/>
          <w:lang w:val="en-US"/>
        </w:rPr>
        <w:t xml:space="preserve">, S. (2012). Party Nationalization in a Multilevel context. Where is the Variance? </w:t>
      </w:r>
      <w:r w:rsidRPr="00AD644F">
        <w:rPr>
          <w:i/>
          <w:sz w:val="20"/>
          <w:szCs w:val="20"/>
          <w:lang w:val="en-US"/>
        </w:rPr>
        <w:t>Electoral Studies, 31</w:t>
      </w:r>
      <w:r w:rsidRPr="00AD644F">
        <w:rPr>
          <w:sz w:val="20"/>
          <w:szCs w:val="20"/>
          <w:lang w:val="en-US"/>
        </w:rPr>
        <w:t>(2), 422-433.</w:t>
      </w:r>
    </w:p>
    <w:p w14:paraId="067DD84A" w14:textId="4158A83D" w:rsidR="00A40CB8" w:rsidRPr="00AD644F" w:rsidRDefault="00A40CB8" w:rsidP="00833454">
      <w:pPr>
        <w:spacing w:after="0" w:line="240" w:lineRule="auto"/>
        <w:ind w:hanging="284"/>
        <w:jc w:val="both"/>
        <w:rPr>
          <w:sz w:val="20"/>
          <w:szCs w:val="20"/>
          <w:lang w:val="en-US"/>
        </w:rPr>
      </w:pPr>
      <w:r w:rsidRPr="00AD644F">
        <w:rPr>
          <w:sz w:val="20"/>
          <w:szCs w:val="20"/>
          <w:lang w:val="en-US"/>
        </w:rPr>
        <w:t xml:space="preserve">Olislagers, E. &amp; </w:t>
      </w:r>
      <w:r w:rsidR="008663A3">
        <w:rPr>
          <w:sz w:val="20"/>
          <w:szCs w:val="20"/>
          <w:lang w:val="en-US"/>
        </w:rPr>
        <w:t>Steyvers</w:t>
      </w:r>
      <w:r w:rsidRPr="00AD644F">
        <w:rPr>
          <w:sz w:val="20"/>
          <w:szCs w:val="20"/>
          <w:lang w:val="en-US"/>
        </w:rPr>
        <w:t xml:space="preserve">, K., Choosing Coalition Partners in Belgian Local Government. </w:t>
      </w:r>
      <w:r w:rsidRPr="00AD644F">
        <w:rPr>
          <w:i/>
          <w:sz w:val="20"/>
          <w:szCs w:val="20"/>
          <w:lang w:val="en-US"/>
        </w:rPr>
        <w:t>Local Government Studies, 41</w:t>
      </w:r>
      <w:r w:rsidRPr="00AD644F">
        <w:rPr>
          <w:sz w:val="20"/>
          <w:szCs w:val="20"/>
          <w:lang w:val="en-US"/>
        </w:rPr>
        <w:t xml:space="preserve">(2), 202-219. </w:t>
      </w:r>
    </w:p>
    <w:p w14:paraId="24DF2FDB" w14:textId="77777777" w:rsidR="00A40CB8" w:rsidRPr="00740887" w:rsidRDefault="00A40CB8" w:rsidP="00833454">
      <w:pPr>
        <w:spacing w:after="0" w:line="240" w:lineRule="auto"/>
        <w:ind w:hanging="284"/>
        <w:jc w:val="both"/>
        <w:rPr>
          <w:rFonts w:cstheme="minorHAnsi"/>
          <w:sz w:val="20"/>
          <w:szCs w:val="20"/>
        </w:rPr>
      </w:pPr>
      <w:proofErr w:type="spellStart"/>
      <w:r w:rsidRPr="00AD644F">
        <w:rPr>
          <w:rFonts w:cstheme="minorHAnsi"/>
          <w:sz w:val="20"/>
          <w:szCs w:val="20"/>
          <w:lang w:val="en-GB"/>
        </w:rPr>
        <w:t>Pedahzur</w:t>
      </w:r>
      <w:proofErr w:type="spellEnd"/>
      <w:r w:rsidRPr="00AD644F">
        <w:rPr>
          <w:rFonts w:cstheme="minorHAnsi"/>
          <w:sz w:val="20"/>
          <w:szCs w:val="20"/>
          <w:lang w:val="en-GB"/>
        </w:rPr>
        <w:t xml:space="preserve">, A. &amp; </w:t>
      </w:r>
      <w:proofErr w:type="spellStart"/>
      <w:r w:rsidRPr="00AD644F">
        <w:rPr>
          <w:rFonts w:cstheme="minorHAnsi"/>
          <w:sz w:val="20"/>
          <w:szCs w:val="20"/>
          <w:lang w:val="en-GB"/>
        </w:rPr>
        <w:t>Brichta</w:t>
      </w:r>
      <w:proofErr w:type="spellEnd"/>
      <w:r w:rsidRPr="00AD644F">
        <w:rPr>
          <w:rFonts w:cstheme="minorHAnsi"/>
          <w:sz w:val="20"/>
          <w:szCs w:val="20"/>
          <w:lang w:val="en-GB"/>
        </w:rPr>
        <w:t xml:space="preserve">, A. (2000). The attractiveness of the seemingly unattractive: an Israeli case. </w:t>
      </w:r>
      <w:proofErr w:type="spellStart"/>
      <w:r w:rsidRPr="00740887">
        <w:rPr>
          <w:rFonts w:cstheme="minorHAnsi"/>
          <w:sz w:val="20"/>
          <w:szCs w:val="20"/>
        </w:rPr>
        <w:t>Local</w:t>
      </w:r>
      <w:proofErr w:type="spellEnd"/>
      <w:r w:rsidRPr="00740887">
        <w:rPr>
          <w:rFonts w:cstheme="minorHAnsi"/>
          <w:sz w:val="20"/>
          <w:szCs w:val="20"/>
        </w:rPr>
        <w:t xml:space="preserve"> Government Studies, 26(3), 55-70.</w:t>
      </w:r>
    </w:p>
    <w:p w14:paraId="213BAC08" w14:textId="77777777" w:rsidR="00A40CB8" w:rsidRPr="00C42A7D" w:rsidRDefault="00A40CB8" w:rsidP="00833454">
      <w:pPr>
        <w:spacing w:after="0" w:line="240" w:lineRule="auto"/>
        <w:ind w:hanging="284"/>
        <w:jc w:val="both"/>
        <w:rPr>
          <w:rFonts w:cs="Calibri"/>
          <w:sz w:val="20"/>
          <w:szCs w:val="20"/>
          <w:lang w:val="en-US"/>
        </w:rPr>
      </w:pPr>
      <w:r w:rsidRPr="00C42A7D">
        <w:rPr>
          <w:rFonts w:cs="Calibri"/>
          <w:sz w:val="20"/>
          <w:szCs w:val="20"/>
        </w:rPr>
        <w:t xml:space="preserve">Pellikaan, H., Van der Meer, T. &amp; De Lange, S. (2003). </w:t>
      </w:r>
      <w:r w:rsidRPr="00C42A7D">
        <w:rPr>
          <w:rFonts w:cs="Calibri"/>
          <w:sz w:val="20"/>
          <w:szCs w:val="20"/>
          <w:lang w:val="en-US"/>
        </w:rPr>
        <w:t xml:space="preserve">The Road From a Depoliticized to a Centrifugal Democracy. </w:t>
      </w:r>
      <w:proofErr w:type="spellStart"/>
      <w:r w:rsidRPr="00C42A7D">
        <w:rPr>
          <w:rFonts w:cs="Calibri"/>
          <w:sz w:val="20"/>
          <w:szCs w:val="20"/>
          <w:lang w:val="en-US"/>
        </w:rPr>
        <w:t>Acta</w:t>
      </w:r>
      <w:proofErr w:type="spellEnd"/>
      <w:r w:rsidRPr="00C42A7D">
        <w:rPr>
          <w:rFonts w:cs="Calibri"/>
          <w:sz w:val="20"/>
          <w:szCs w:val="20"/>
          <w:lang w:val="en-US"/>
        </w:rPr>
        <w:t xml:space="preserve"> </w:t>
      </w:r>
      <w:proofErr w:type="spellStart"/>
      <w:r w:rsidRPr="00C42A7D">
        <w:rPr>
          <w:rFonts w:cs="Calibri"/>
          <w:sz w:val="20"/>
          <w:szCs w:val="20"/>
          <w:lang w:val="en-US"/>
        </w:rPr>
        <w:t>Politica</w:t>
      </w:r>
      <w:proofErr w:type="spellEnd"/>
      <w:r>
        <w:rPr>
          <w:rFonts w:cs="Calibri"/>
          <w:sz w:val="20"/>
          <w:szCs w:val="20"/>
          <w:lang w:val="en-US"/>
        </w:rPr>
        <w:t>,</w:t>
      </w:r>
      <w:r w:rsidRPr="00C42A7D">
        <w:rPr>
          <w:rFonts w:cs="Calibri"/>
          <w:sz w:val="20"/>
          <w:szCs w:val="20"/>
          <w:lang w:val="en-US"/>
        </w:rPr>
        <w:t xml:space="preserve"> 38</w:t>
      </w:r>
      <w:r>
        <w:rPr>
          <w:rFonts w:cs="Calibri"/>
          <w:sz w:val="20"/>
          <w:szCs w:val="20"/>
          <w:lang w:val="en-US"/>
        </w:rPr>
        <w:t xml:space="preserve">, </w:t>
      </w:r>
      <w:r w:rsidRPr="00C42A7D">
        <w:rPr>
          <w:rFonts w:cs="Calibri"/>
          <w:sz w:val="20"/>
          <w:szCs w:val="20"/>
          <w:lang w:val="en-US"/>
        </w:rPr>
        <w:t>23-49.</w:t>
      </w:r>
    </w:p>
    <w:p w14:paraId="44CA2B19" w14:textId="77777777" w:rsidR="005615E9" w:rsidRDefault="00A40CB8" w:rsidP="00833454">
      <w:pPr>
        <w:spacing w:after="0" w:line="240" w:lineRule="auto"/>
        <w:ind w:hanging="284"/>
        <w:jc w:val="both"/>
        <w:rPr>
          <w:rFonts w:cstheme="minorHAnsi"/>
          <w:sz w:val="20"/>
          <w:szCs w:val="20"/>
          <w:lang w:val="en-GB"/>
        </w:rPr>
      </w:pPr>
      <w:proofErr w:type="spellStart"/>
      <w:r w:rsidRPr="00AD644F">
        <w:rPr>
          <w:rFonts w:cstheme="minorHAnsi"/>
          <w:sz w:val="20"/>
          <w:szCs w:val="20"/>
          <w:lang w:val="en-GB"/>
        </w:rPr>
        <w:t>Petrocik</w:t>
      </w:r>
      <w:proofErr w:type="spellEnd"/>
      <w:r w:rsidRPr="00AD644F">
        <w:rPr>
          <w:rFonts w:cstheme="minorHAnsi"/>
          <w:sz w:val="20"/>
          <w:szCs w:val="20"/>
          <w:lang w:val="en-GB"/>
        </w:rPr>
        <w:t>, J. (1996). Issue ownership in presidential elections, with a 1980 case study. In: American Journal of Political Science, 40 (3), 825-850.</w:t>
      </w:r>
    </w:p>
    <w:p w14:paraId="7E3C907E" w14:textId="1AE444F6" w:rsidR="00A40CB8" w:rsidRPr="00AD644F" w:rsidRDefault="00A40CB8" w:rsidP="00833454">
      <w:pPr>
        <w:spacing w:after="0" w:line="240" w:lineRule="auto"/>
        <w:ind w:hanging="284"/>
        <w:jc w:val="both"/>
        <w:rPr>
          <w:sz w:val="20"/>
          <w:szCs w:val="20"/>
          <w:lang w:val="en-US"/>
        </w:rPr>
      </w:pPr>
      <w:proofErr w:type="spellStart"/>
      <w:r w:rsidRPr="00AD644F">
        <w:rPr>
          <w:sz w:val="20"/>
          <w:szCs w:val="20"/>
          <w:lang w:val="en-US"/>
        </w:rPr>
        <w:t>Reiser</w:t>
      </w:r>
      <w:proofErr w:type="spellEnd"/>
      <w:r w:rsidRPr="00AD644F">
        <w:rPr>
          <w:sz w:val="20"/>
          <w:szCs w:val="20"/>
          <w:lang w:val="en-US"/>
        </w:rPr>
        <w:t xml:space="preserve">, M. (2008). Conclusion: independent local lists in Eastern and Western European countries. In M. </w:t>
      </w:r>
      <w:proofErr w:type="spellStart"/>
      <w:r w:rsidRPr="00AD644F">
        <w:rPr>
          <w:sz w:val="20"/>
          <w:szCs w:val="20"/>
          <w:lang w:val="en-US"/>
        </w:rPr>
        <w:t>Reiser</w:t>
      </w:r>
      <w:proofErr w:type="spellEnd"/>
      <w:r w:rsidRPr="00AD644F">
        <w:rPr>
          <w:sz w:val="20"/>
          <w:szCs w:val="20"/>
          <w:lang w:val="en-US"/>
        </w:rPr>
        <w:t xml:space="preserve"> &amp; E. Holtmann (Eds.), </w:t>
      </w:r>
      <w:r w:rsidRPr="00AD644F">
        <w:rPr>
          <w:i/>
          <w:sz w:val="20"/>
          <w:szCs w:val="20"/>
          <w:lang w:val="en-US"/>
        </w:rPr>
        <w:t>Farewell to the Party Model? Independent local lists in Eastern and Western European countries</w:t>
      </w:r>
      <w:r w:rsidRPr="00AD644F">
        <w:rPr>
          <w:sz w:val="20"/>
          <w:szCs w:val="20"/>
          <w:lang w:val="en-US"/>
        </w:rPr>
        <w:t xml:space="preserve"> (pp. 277-294). Wiesbaden: VS </w:t>
      </w:r>
      <w:proofErr w:type="spellStart"/>
      <w:r w:rsidRPr="00AD644F">
        <w:rPr>
          <w:sz w:val="20"/>
          <w:szCs w:val="20"/>
          <w:lang w:val="en-US"/>
        </w:rPr>
        <w:t>Verlag</w:t>
      </w:r>
      <w:proofErr w:type="spellEnd"/>
      <w:r w:rsidRPr="00AD644F">
        <w:rPr>
          <w:sz w:val="20"/>
          <w:szCs w:val="20"/>
          <w:lang w:val="en-US"/>
        </w:rPr>
        <w:t>.</w:t>
      </w:r>
    </w:p>
    <w:p w14:paraId="7480251F" w14:textId="77777777" w:rsidR="00A40CB8" w:rsidRPr="00AD644F" w:rsidRDefault="00A40CB8" w:rsidP="00833454">
      <w:pPr>
        <w:spacing w:after="0" w:line="240" w:lineRule="auto"/>
        <w:ind w:hanging="284"/>
        <w:jc w:val="both"/>
        <w:rPr>
          <w:sz w:val="20"/>
          <w:szCs w:val="20"/>
          <w:lang w:val="en-US"/>
        </w:rPr>
      </w:pPr>
      <w:proofErr w:type="spellStart"/>
      <w:r w:rsidRPr="00AD644F">
        <w:rPr>
          <w:sz w:val="20"/>
          <w:szCs w:val="20"/>
          <w:lang w:val="en-US"/>
        </w:rPr>
        <w:t>Rokkan</w:t>
      </w:r>
      <w:proofErr w:type="spellEnd"/>
      <w:r w:rsidRPr="00AD644F">
        <w:rPr>
          <w:sz w:val="20"/>
          <w:szCs w:val="20"/>
          <w:lang w:val="en-US"/>
        </w:rPr>
        <w:t xml:space="preserve">, S. (1966). Electoral Mobilization, Party Competition and National Integration. In J. Weiner (Ed.), </w:t>
      </w:r>
      <w:r w:rsidRPr="00AD644F">
        <w:rPr>
          <w:i/>
          <w:sz w:val="20"/>
          <w:szCs w:val="20"/>
          <w:lang w:val="en-US"/>
        </w:rPr>
        <w:t>Political Parties and Political Development</w:t>
      </w:r>
      <w:r w:rsidRPr="00AD644F">
        <w:rPr>
          <w:sz w:val="20"/>
          <w:szCs w:val="20"/>
          <w:lang w:val="en-US"/>
        </w:rPr>
        <w:t xml:space="preserve"> (pp. 241-265). Princeton: Princeton University Press. </w:t>
      </w:r>
    </w:p>
    <w:p w14:paraId="731D1BB5" w14:textId="77777777" w:rsidR="00A40CB8" w:rsidRPr="00AD644F" w:rsidRDefault="00A40CB8" w:rsidP="00833454">
      <w:pPr>
        <w:spacing w:after="0" w:line="240" w:lineRule="auto"/>
        <w:ind w:hanging="284"/>
        <w:jc w:val="both"/>
        <w:rPr>
          <w:sz w:val="20"/>
          <w:szCs w:val="20"/>
          <w:lang w:val="en-GB"/>
        </w:rPr>
      </w:pPr>
      <w:proofErr w:type="spellStart"/>
      <w:r w:rsidRPr="00AD644F">
        <w:rPr>
          <w:sz w:val="20"/>
          <w:szCs w:val="20"/>
          <w:lang w:val="en-GB"/>
        </w:rPr>
        <w:t>Saiz</w:t>
      </w:r>
      <w:proofErr w:type="spellEnd"/>
      <w:r w:rsidRPr="00AD644F">
        <w:rPr>
          <w:sz w:val="20"/>
          <w:szCs w:val="20"/>
          <w:lang w:val="en-GB"/>
        </w:rPr>
        <w:t xml:space="preserve">, M. &amp; </w:t>
      </w:r>
      <w:proofErr w:type="spellStart"/>
      <w:r w:rsidRPr="00AD644F">
        <w:rPr>
          <w:sz w:val="20"/>
          <w:szCs w:val="20"/>
          <w:lang w:val="en-GB"/>
        </w:rPr>
        <w:t>Geser</w:t>
      </w:r>
      <w:proofErr w:type="spellEnd"/>
      <w:r w:rsidRPr="00AD644F">
        <w:rPr>
          <w:sz w:val="20"/>
          <w:szCs w:val="20"/>
          <w:lang w:val="en-GB"/>
        </w:rPr>
        <w:t xml:space="preserve">, H. (Eds.) (1999). </w:t>
      </w:r>
      <w:r w:rsidRPr="00AD644F">
        <w:rPr>
          <w:i/>
          <w:sz w:val="20"/>
          <w:szCs w:val="20"/>
          <w:lang w:val="en-GB"/>
        </w:rPr>
        <w:t>Local Parties in Political and Organizational Perspective</w:t>
      </w:r>
      <w:r w:rsidRPr="00AD644F">
        <w:rPr>
          <w:sz w:val="20"/>
          <w:szCs w:val="20"/>
          <w:lang w:val="en-GB"/>
        </w:rPr>
        <w:t xml:space="preserve">. Boulder: Westview Press. </w:t>
      </w:r>
    </w:p>
    <w:p w14:paraId="6E4DDF99" w14:textId="77777777" w:rsidR="00A40CB8" w:rsidRPr="00AD644F" w:rsidRDefault="00A40CB8" w:rsidP="00833454">
      <w:pPr>
        <w:spacing w:after="0" w:line="240" w:lineRule="auto"/>
        <w:ind w:hanging="284"/>
        <w:jc w:val="both"/>
        <w:rPr>
          <w:sz w:val="20"/>
          <w:szCs w:val="20"/>
        </w:rPr>
      </w:pPr>
      <w:r w:rsidRPr="00AD644F">
        <w:rPr>
          <w:sz w:val="20"/>
          <w:szCs w:val="20"/>
          <w:lang w:val="en-GB"/>
        </w:rPr>
        <w:t xml:space="preserve">Sharpe, L. (1970). Theories and Values of Local Government. </w:t>
      </w:r>
      <w:r w:rsidRPr="00AD644F">
        <w:rPr>
          <w:i/>
          <w:sz w:val="20"/>
          <w:szCs w:val="20"/>
        </w:rPr>
        <w:t>Political Studies, 18</w:t>
      </w:r>
      <w:r w:rsidRPr="00AD644F">
        <w:rPr>
          <w:sz w:val="20"/>
          <w:szCs w:val="20"/>
        </w:rPr>
        <w:t>(2), 153-174.</w:t>
      </w:r>
    </w:p>
    <w:p w14:paraId="3C87DBE1" w14:textId="01DB373A" w:rsidR="00A40CB8" w:rsidRPr="00AD644F" w:rsidRDefault="008663A3" w:rsidP="00833454">
      <w:pPr>
        <w:pStyle w:val="FootnoteText"/>
        <w:ind w:hanging="284"/>
        <w:jc w:val="both"/>
      </w:pPr>
      <w:r w:rsidRPr="008663A3">
        <w:rPr>
          <w:lang w:val="fr-BE"/>
        </w:rPr>
        <w:t>Steyvers, K.</w:t>
      </w:r>
      <w:r w:rsidR="00A40CB8" w:rsidRPr="008663A3">
        <w:rPr>
          <w:lang w:val="fr-BE"/>
        </w:rPr>
        <w:t xml:space="preserve"> &amp; De Ceuninck, K. (2013). </w:t>
      </w:r>
      <w:r w:rsidR="00A40CB8" w:rsidRPr="00AD644F">
        <w:t xml:space="preserve">De kracht van verandering of plus </w:t>
      </w:r>
      <w:proofErr w:type="spellStart"/>
      <w:r w:rsidR="00A40CB8" w:rsidRPr="00AD644F">
        <w:t>ça</w:t>
      </w:r>
      <w:proofErr w:type="spellEnd"/>
      <w:r w:rsidR="00A40CB8" w:rsidRPr="00AD644F">
        <w:t xml:space="preserve"> change ? De gemeenteraadsverkiezingen van 2012 in het licht van de trends sinds de fusie</w:t>
      </w:r>
      <w:r w:rsidR="00C06CFF">
        <w:t xml:space="preserve">s van 1976. In H. Reynaert &amp; K. </w:t>
      </w:r>
      <w:r w:rsidR="00A40CB8" w:rsidRPr="00AD644F">
        <w:t xml:space="preserve">Steyvers (Eds.), </w:t>
      </w:r>
      <w:r w:rsidR="00A40CB8" w:rsidRPr="00AD644F">
        <w:rPr>
          <w:i/>
        </w:rPr>
        <w:t>De kracht van verankering? De verkiezingen van 14 oktober 2012</w:t>
      </w:r>
      <w:r w:rsidR="00A40CB8" w:rsidRPr="00AD644F">
        <w:t xml:space="preserve"> (pp. 15-40). Brugge: Vanden </w:t>
      </w:r>
      <w:proofErr w:type="spellStart"/>
      <w:r w:rsidR="00A40CB8" w:rsidRPr="00AD644F">
        <w:t>Broele</w:t>
      </w:r>
      <w:proofErr w:type="spellEnd"/>
      <w:r w:rsidR="00A40CB8" w:rsidRPr="00AD644F">
        <w:t xml:space="preserve">. </w:t>
      </w:r>
    </w:p>
    <w:p w14:paraId="430B24C6" w14:textId="21742EBB" w:rsidR="00A40CB8" w:rsidRPr="00150E93" w:rsidRDefault="008663A3" w:rsidP="00833454">
      <w:pPr>
        <w:pStyle w:val="FootnoteText"/>
        <w:ind w:hanging="284"/>
        <w:jc w:val="both"/>
        <w:rPr>
          <w:lang w:val="en-US"/>
        </w:rPr>
      </w:pPr>
      <w:r>
        <w:t>Steyvers, K.</w:t>
      </w:r>
      <w:r w:rsidR="00A40CB8" w:rsidRPr="008663A3">
        <w:rPr>
          <w:lang w:val="fr-BE"/>
        </w:rPr>
        <w:t xml:space="preserve">, Reynaert, H., De Ceuninck, K. &amp; Valcke, T. (2008). </w:t>
      </w:r>
      <w:r w:rsidR="00A40CB8" w:rsidRPr="00AD644F">
        <w:rPr>
          <w:lang w:val="en-US"/>
        </w:rPr>
        <w:t xml:space="preserve">All politics is local, partisan or national? Local lists in Belgium. In E. Holtmann &amp; M. </w:t>
      </w:r>
      <w:proofErr w:type="spellStart"/>
      <w:r w:rsidR="00A40CB8" w:rsidRPr="00AD644F">
        <w:rPr>
          <w:lang w:val="en-US"/>
        </w:rPr>
        <w:t>Reiser</w:t>
      </w:r>
      <w:proofErr w:type="spellEnd"/>
      <w:r w:rsidR="00A40CB8" w:rsidRPr="00AD644F">
        <w:rPr>
          <w:lang w:val="en-US"/>
        </w:rPr>
        <w:t xml:space="preserve"> (Eds.), </w:t>
      </w:r>
      <w:r w:rsidR="00A40CB8" w:rsidRPr="00AD644F">
        <w:rPr>
          <w:i/>
          <w:lang w:val="en-US"/>
        </w:rPr>
        <w:t>Farewell to the Party Model? Independent Local Lists in East and West European Countries</w:t>
      </w:r>
      <w:r w:rsidR="00A40CB8" w:rsidRPr="00AD644F">
        <w:rPr>
          <w:lang w:val="en-US"/>
        </w:rPr>
        <w:t xml:space="preserve"> (pp. 169-194). </w:t>
      </w:r>
      <w:r w:rsidR="00A40CB8" w:rsidRPr="00150E93">
        <w:rPr>
          <w:lang w:val="en-US"/>
        </w:rPr>
        <w:t xml:space="preserve">Wiesbaden: VS </w:t>
      </w:r>
      <w:proofErr w:type="spellStart"/>
      <w:r w:rsidR="00A40CB8" w:rsidRPr="00150E93">
        <w:rPr>
          <w:lang w:val="en-US"/>
        </w:rPr>
        <w:t>Verlag</w:t>
      </w:r>
      <w:proofErr w:type="spellEnd"/>
      <w:r w:rsidR="00A40CB8" w:rsidRPr="00150E93">
        <w:rPr>
          <w:lang w:val="en-US"/>
        </w:rPr>
        <w:t xml:space="preserve">. </w:t>
      </w:r>
    </w:p>
    <w:p w14:paraId="484D6474" w14:textId="77777777" w:rsidR="005615E9" w:rsidRDefault="00A40CB8" w:rsidP="00833454">
      <w:pPr>
        <w:spacing w:after="0" w:line="240" w:lineRule="auto"/>
        <w:ind w:hanging="284"/>
        <w:jc w:val="both"/>
        <w:rPr>
          <w:sz w:val="20"/>
          <w:szCs w:val="20"/>
          <w:lang w:val="en-US"/>
        </w:rPr>
      </w:pPr>
      <w:proofErr w:type="spellStart"/>
      <w:r w:rsidRPr="001D2CB3">
        <w:rPr>
          <w:sz w:val="20"/>
          <w:szCs w:val="20"/>
          <w:lang w:val="en-US"/>
        </w:rPr>
        <w:t>Thorlakson</w:t>
      </w:r>
      <w:proofErr w:type="spellEnd"/>
      <w:r w:rsidRPr="001D2CB3">
        <w:rPr>
          <w:sz w:val="20"/>
          <w:szCs w:val="20"/>
          <w:lang w:val="en-US"/>
        </w:rPr>
        <w:t xml:space="preserve">, L. (2006). </w:t>
      </w:r>
      <w:r w:rsidRPr="00AD644F">
        <w:rPr>
          <w:sz w:val="20"/>
          <w:szCs w:val="20"/>
          <w:lang w:val="en-US"/>
        </w:rPr>
        <w:t xml:space="preserve">Party systems in multi-level contexts. In D. Hough &amp; C. Jeffery (Eds.), </w:t>
      </w:r>
      <w:r w:rsidRPr="00AD644F">
        <w:rPr>
          <w:i/>
          <w:sz w:val="20"/>
          <w:szCs w:val="20"/>
          <w:lang w:val="en-US"/>
        </w:rPr>
        <w:t xml:space="preserve">Devolution and electoral politics </w:t>
      </w:r>
      <w:r w:rsidRPr="00AD644F">
        <w:rPr>
          <w:sz w:val="20"/>
          <w:szCs w:val="20"/>
          <w:lang w:val="en-US"/>
        </w:rPr>
        <w:t>(pp. 37-52). Manchester: Manchester University Press.</w:t>
      </w:r>
    </w:p>
    <w:p w14:paraId="69AECD2E" w14:textId="234A2733" w:rsidR="005615E9" w:rsidRPr="00C06CFF" w:rsidRDefault="00E035D2" w:rsidP="00833454">
      <w:pPr>
        <w:spacing w:after="0" w:line="240" w:lineRule="auto"/>
        <w:ind w:hanging="284"/>
        <w:jc w:val="both"/>
        <w:rPr>
          <w:sz w:val="20"/>
          <w:szCs w:val="20"/>
        </w:rPr>
      </w:pPr>
      <w:r>
        <w:rPr>
          <w:sz w:val="20"/>
          <w:szCs w:val="20"/>
          <w:lang w:val="en-US"/>
        </w:rPr>
        <w:t>V</w:t>
      </w:r>
      <w:r w:rsidR="00A40CB8" w:rsidRPr="005615E9">
        <w:rPr>
          <w:sz w:val="20"/>
          <w:szCs w:val="20"/>
          <w:lang w:val="en-US"/>
        </w:rPr>
        <w:t xml:space="preserve">an Haute, Emilie, Anissa </w:t>
      </w:r>
      <w:proofErr w:type="spellStart"/>
      <w:r w:rsidR="00A40CB8" w:rsidRPr="005615E9">
        <w:rPr>
          <w:sz w:val="20"/>
          <w:szCs w:val="20"/>
          <w:lang w:val="en-US"/>
        </w:rPr>
        <w:t>Amjahad</w:t>
      </w:r>
      <w:proofErr w:type="spellEnd"/>
      <w:r w:rsidR="00A40CB8" w:rsidRPr="005615E9">
        <w:rPr>
          <w:sz w:val="20"/>
          <w:szCs w:val="20"/>
          <w:lang w:val="en-US"/>
        </w:rPr>
        <w:t xml:space="preserve">, Arthur </w:t>
      </w:r>
      <w:proofErr w:type="spellStart"/>
      <w:r w:rsidR="00A40CB8" w:rsidRPr="005615E9">
        <w:rPr>
          <w:sz w:val="20"/>
          <w:szCs w:val="20"/>
          <w:lang w:val="en-US"/>
        </w:rPr>
        <w:t>Borriello</w:t>
      </w:r>
      <w:proofErr w:type="spellEnd"/>
      <w:r w:rsidR="00A40CB8" w:rsidRPr="005615E9">
        <w:rPr>
          <w:sz w:val="20"/>
          <w:szCs w:val="20"/>
          <w:lang w:val="en-US"/>
        </w:rPr>
        <w:t xml:space="preserve">, Caroline Close, and Giulia Sandri. 2012. “Party Members in a </w:t>
      </w:r>
      <w:proofErr w:type="spellStart"/>
      <w:r w:rsidR="00A40CB8" w:rsidRPr="005615E9">
        <w:rPr>
          <w:sz w:val="20"/>
          <w:szCs w:val="20"/>
          <w:lang w:val="en-US"/>
        </w:rPr>
        <w:t>Pillarised</w:t>
      </w:r>
      <w:proofErr w:type="spellEnd"/>
      <w:r w:rsidR="00A40CB8" w:rsidRPr="005615E9">
        <w:rPr>
          <w:sz w:val="20"/>
          <w:szCs w:val="20"/>
          <w:lang w:val="en-US"/>
        </w:rPr>
        <w:t xml:space="preserve"> Partitocracy. An Empirical Overview of Party Membership Figures and Profiles in Belgium.” </w:t>
      </w:r>
      <w:r w:rsidR="00A40CB8" w:rsidRPr="00C06CFF">
        <w:rPr>
          <w:i/>
          <w:sz w:val="20"/>
          <w:szCs w:val="20"/>
        </w:rPr>
        <w:t>Acta Politica 48</w:t>
      </w:r>
      <w:r w:rsidR="00A40CB8" w:rsidRPr="00C06CFF">
        <w:rPr>
          <w:sz w:val="20"/>
          <w:szCs w:val="20"/>
        </w:rPr>
        <w:t>: 1–24. doi:10.1057/ap.2012.25.</w:t>
      </w:r>
    </w:p>
    <w:p w14:paraId="06349032" w14:textId="720254EB" w:rsidR="00A40CB8" w:rsidRPr="00AD644F" w:rsidRDefault="00A40CB8" w:rsidP="00833454">
      <w:pPr>
        <w:spacing w:after="0" w:line="240" w:lineRule="auto"/>
        <w:ind w:hanging="284"/>
        <w:jc w:val="both"/>
        <w:rPr>
          <w:rFonts w:cstheme="minorHAnsi"/>
          <w:sz w:val="20"/>
          <w:szCs w:val="20"/>
        </w:rPr>
      </w:pPr>
      <w:proofErr w:type="spellStart"/>
      <w:r w:rsidRPr="00C06CFF">
        <w:rPr>
          <w:rFonts w:cstheme="minorHAnsi"/>
          <w:sz w:val="20"/>
          <w:szCs w:val="20"/>
        </w:rPr>
        <w:t>Volkens</w:t>
      </w:r>
      <w:proofErr w:type="spellEnd"/>
      <w:r w:rsidRPr="00C06CFF">
        <w:rPr>
          <w:rFonts w:cstheme="minorHAnsi"/>
          <w:sz w:val="20"/>
          <w:szCs w:val="20"/>
        </w:rPr>
        <w:t xml:space="preserve">, A. (2002). Manifesto </w:t>
      </w:r>
      <w:proofErr w:type="spellStart"/>
      <w:r w:rsidRPr="00C06CFF">
        <w:rPr>
          <w:rFonts w:cstheme="minorHAnsi"/>
          <w:sz w:val="20"/>
          <w:szCs w:val="20"/>
        </w:rPr>
        <w:t>coding</w:t>
      </w:r>
      <w:proofErr w:type="spellEnd"/>
      <w:r w:rsidRPr="00C06CFF">
        <w:rPr>
          <w:rFonts w:cstheme="minorHAnsi"/>
          <w:sz w:val="20"/>
          <w:szCs w:val="20"/>
        </w:rPr>
        <w:t xml:space="preserve"> </w:t>
      </w:r>
      <w:proofErr w:type="spellStart"/>
      <w:r w:rsidRPr="00C06CFF">
        <w:rPr>
          <w:rFonts w:cstheme="minorHAnsi"/>
          <w:sz w:val="20"/>
          <w:szCs w:val="20"/>
        </w:rPr>
        <w:t>instructions</w:t>
      </w:r>
      <w:proofErr w:type="spellEnd"/>
      <w:r w:rsidRPr="00C06CFF">
        <w:rPr>
          <w:rFonts w:cstheme="minorHAnsi"/>
          <w:sz w:val="20"/>
          <w:szCs w:val="20"/>
        </w:rPr>
        <w:t xml:space="preserve"> (second </w:t>
      </w:r>
      <w:proofErr w:type="spellStart"/>
      <w:r w:rsidRPr="00C06CFF">
        <w:rPr>
          <w:rFonts w:cstheme="minorHAnsi"/>
          <w:sz w:val="20"/>
          <w:szCs w:val="20"/>
        </w:rPr>
        <w:t>revised</w:t>
      </w:r>
      <w:proofErr w:type="spellEnd"/>
      <w:r w:rsidRPr="00C06CFF">
        <w:rPr>
          <w:rFonts w:cstheme="minorHAnsi"/>
          <w:sz w:val="20"/>
          <w:szCs w:val="20"/>
        </w:rPr>
        <w:t xml:space="preserve"> </w:t>
      </w:r>
      <w:proofErr w:type="spellStart"/>
      <w:r w:rsidRPr="00C06CFF">
        <w:rPr>
          <w:rFonts w:cstheme="minorHAnsi"/>
          <w:sz w:val="20"/>
          <w:szCs w:val="20"/>
        </w:rPr>
        <w:t>edition</w:t>
      </w:r>
      <w:proofErr w:type="spellEnd"/>
      <w:r w:rsidRPr="00C06CFF">
        <w:rPr>
          <w:rFonts w:cstheme="minorHAnsi"/>
          <w:sz w:val="20"/>
          <w:szCs w:val="20"/>
        </w:rPr>
        <w:t xml:space="preserve">). </w:t>
      </w:r>
      <w:r w:rsidRPr="00AD644F">
        <w:rPr>
          <w:rFonts w:cstheme="minorHAnsi"/>
          <w:sz w:val="20"/>
          <w:szCs w:val="20"/>
        </w:rPr>
        <w:t>Opgeroepen op februari 21, 2014, van Manifesto Project Database: http://edoc.vifapol.de/opus/volltexte/2009/1957/pdf/iii02_201.pdf</w:t>
      </w:r>
    </w:p>
    <w:p w14:paraId="0B9A68E0" w14:textId="77777777" w:rsidR="005615E9" w:rsidRPr="00A219F1" w:rsidRDefault="00A40CB8" w:rsidP="00833454">
      <w:pPr>
        <w:spacing w:after="0" w:line="240" w:lineRule="auto"/>
        <w:ind w:hanging="284"/>
        <w:jc w:val="both"/>
        <w:rPr>
          <w:rFonts w:cstheme="minorHAnsi"/>
          <w:sz w:val="20"/>
          <w:szCs w:val="20"/>
          <w:lang w:val="en-US"/>
        </w:rPr>
      </w:pPr>
      <w:proofErr w:type="spellStart"/>
      <w:r w:rsidRPr="00AD644F">
        <w:rPr>
          <w:rFonts w:cstheme="minorHAnsi"/>
          <w:sz w:val="20"/>
          <w:szCs w:val="20"/>
        </w:rPr>
        <w:t>Volkens</w:t>
      </w:r>
      <w:proofErr w:type="spellEnd"/>
      <w:r w:rsidRPr="00AD644F">
        <w:rPr>
          <w:rFonts w:cstheme="minorHAnsi"/>
          <w:sz w:val="20"/>
          <w:szCs w:val="20"/>
        </w:rPr>
        <w:t xml:space="preserve">, A., </w:t>
      </w:r>
      <w:proofErr w:type="spellStart"/>
      <w:r w:rsidRPr="00AD644F">
        <w:rPr>
          <w:rFonts w:cstheme="minorHAnsi"/>
          <w:sz w:val="20"/>
          <w:szCs w:val="20"/>
        </w:rPr>
        <w:t>Lacewell</w:t>
      </w:r>
      <w:proofErr w:type="spellEnd"/>
      <w:r w:rsidRPr="00AD644F">
        <w:rPr>
          <w:rFonts w:cstheme="minorHAnsi"/>
          <w:sz w:val="20"/>
          <w:szCs w:val="20"/>
        </w:rPr>
        <w:t xml:space="preserve">, O., Lehmann, P., Regel, S., Schultze, H. </w:t>
      </w:r>
      <w:proofErr w:type="spellStart"/>
      <w:r w:rsidRPr="00AD644F">
        <w:rPr>
          <w:rFonts w:cstheme="minorHAnsi"/>
          <w:sz w:val="20"/>
          <w:szCs w:val="20"/>
        </w:rPr>
        <w:t>and</w:t>
      </w:r>
      <w:proofErr w:type="spellEnd"/>
      <w:r w:rsidRPr="00AD644F">
        <w:rPr>
          <w:rFonts w:cstheme="minorHAnsi"/>
          <w:sz w:val="20"/>
          <w:szCs w:val="20"/>
        </w:rPr>
        <w:t xml:space="preserve"> Werner, A. (2013). </w:t>
      </w:r>
      <w:r w:rsidRPr="0043204D">
        <w:rPr>
          <w:rFonts w:cstheme="minorHAnsi"/>
          <w:sz w:val="20"/>
          <w:szCs w:val="20"/>
          <w:lang w:val="en-US"/>
        </w:rPr>
        <w:t xml:space="preserve">The Manifesto Data Collection. </w:t>
      </w:r>
      <w:r w:rsidRPr="00A219F1">
        <w:rPr>
          <w:rFonts w:cstheme="minorHAnsi"/>
          <w:sz w:val="20"/>
          <w:szCs w:val="20"/>
          <w:lang w:val="en-US"/>
        </w:rPr>
        <w:t xml:space="preserve">Manifesto Project (MRG/CMP/MARPOR), Berlin: </w:t>
      </w:r>
      <w:proofErr w:type="spellStart"/>
      <w:r w:rsidRPr="00A219F1">
        <w:rPr>
          <w:rFonts w:cstheme="minorHAnsi"/>
          <w:sz w:val="20"/>
          <w:szCs w:val="20"/>
          <w:lang w:val="en-US"/>
        </w:rPr>
        <w:t>Wissenschaftszentrum</w:t>
      </w:r>
      <w:proofErr w:type="spellEnd"/>
      <w:r w:rsidRPr="00A219F1">
        <w:rPr>
          <w:rFonts w:cstheme="minorHAnsi"/>
          <w:sz w:val="20"/>
          <w:szCs w:val="20"/>
          <w:lang w:val="en-US"/>
        </w:rPr>
        <w:t xml:space="preserve"> Berlin </w:t>
      </w:r>
      <w:proofErr w:type="spellStart"/>
      <w:r w:rsidRPr="00A219F1">
        <w:rPr>
          <w:rFonts w:cstheme="minorHAnsi"/>
          <w:sz w:val="20"/>
          <w:szCs w:val="20"/>
          <w:lang w:val="en-US"/>
        </w:rPr>
        <w:t>für</w:t>
      </w:r>
      <w:proofErr w:type="spellEnd"/>
      <w:r w:rsidRPr="00A219F1">
        <w:rPr>
          <w:rFonts w:cstheme="minorHAnsi"/>
          <w:sz w:val="20"/>
          <w:szCs w:val="20"/>
          <w:lang w:val="en-US"/>
        </w:rPr>
        <w:t xml:space="preserve"> </w:t>
      </w:r>
      <w:proofErr w:type="spellStart"/>
      <w:r w:rsidRPr="00A219F1">
        <w:rPr>
          <w:rFonts w:cstheme="minorHAnsi"/>
          <w:sz w:val="20"/>
          <w:szCs w:val="20"/>
          <w:lang w:val="en-US"/>
        </w:rPr>
        <w:t>Sozialforschung</w:t>
      </w:r>
      <w:proofErr w:type="spellEnd"/>
      <w:r w:rsidRPr="00A219F1">
        <w:rPr>
          <w:rFonts w:cstheme="minorHAnsi"/>
          <w:sz w:val="20"/>
          <w:szCs w:val="20"/>
          <w:lang w:val="en-US"/>
        </w:rPr>
        <w:t xml:space="preserve"> (WZB).</w:t>
      </w:r>
    </w:p>
    <w:p w14:paraId="70C655AC" w14:textId="0B74003E" w:rsidR="00A40CB8" w:rsidRPr="0043204D" w:rsidRDefault="00A40CB8" w:rsidP="00833454">
      <w:pPr>
        <w:spacing w:after="0" w:line="240" w:lineRule="auto"/>
        <w:ind w:hanging="284"/>
        <w:jc w:val="both"/>
        <w:rPr>
          <w:rFonts w:cstheme="minorHAnsi"/>
          <w:sz w:val="20"/>
          <w:szCs w:val="20"/>
          <w:lang w:val="en-US"/>
        </w:rPr>
      </w:pPr>
      <w:proofErr w:type="spellStart"/>
      <w:r w:rsidRPr="00833454">
        <w:rPr>
          <w:rFonts w:cstheme="minorHAnsi"/>
          <w:sz w:val="20"/>
          <w:szCs w:val="20"/>
          <w:lang w:val="en-US"/>
        </w:rPr>
        <w:lastRenderedPageBreak/>
        <w:t>Wauters</w:t>
      </w:r>
      <w:proofErr w:type="spellEnd"/>
      <w:r w:rsidRPr="00833454">
        <w:rPr>
          <w:rFonts w:cstheme="minorHAnsi"/>
          <w:sz w:val="20"/>
          <w:szCs w:val="20"/>
          <w:lang w:val="en-US"/>
        </w:rPr>
        <w:t xml:space="preserve">, B. (2013). </w:t>
      </w:r>
      <w:proofErr w:type="spellStart"/>
      <w:r w:rsidRPr="00833454">
        <w:rPr>
          <w:rFonts w:cstheme="minorHAnsi"/>
          <w:sz w:val="20"/>
          <w:szCs w:val="20"/>
          <w:lang w:val="en-US"/>
        </w:rPr>
        <w:t>Democratising</w:t>
      </w:r>
      <w:proofErr w:type="spellEnd"/>
      <w:r w:rsidRPr="00833454">
        <w:rPr>
          <w:rFonts w:cstheme="minorHAnsi"/>
          <w:sz w:val="20"/>
          <w:szCs w:val="20"/>
          <w:lang w:val="en-US"/>
        </w:rPr>
        <w:t xml:space="preserve"> party leadership selection in Belgium: motivations and decision-makers. </w:t>
      </w:r>
      <w:r w:rsidRPr="00833454">
        <w:rPr>
          <w:rFonts w:cstheme="minorHAnsi"/>
          <w:i/>
          <w:sz w:val="20"/>
          <w:szCs w:val="20"/>
          <w:lang w:val="en-US"/>
        </w:rPr>
        <w:t>Political Studies</w:t>
      </w:r>
      <w:r w:rsidRPr="00833454">
        <w:rPr>
          <w:rFonts w:cstheme="minorHAnsi"/>
          <w:sz w:val="20"/>
          <w:szCs w:val="20"/>
          <w:lang w:val="en-US"/>
        </w:rPr>
        <w:t xml:space="preserve">. (first published online: </w:t>
      </w:r>
      <w:hyperlink r:id="rId11" w:history="1">
        <w:r w:rsidRPr="001D2CB3">
          <w:rPr>
            <w:rFonts w:cstheme="minorHAnsi"/>
            <w:lang w:val="en-US"/>
          </w:rPr>
          <w:t>http://onlinelibrary.wiley.com/doi/10.1111/1467-9248.12002/abstract</w:t>
        </w:r>
      </w:hyperlink>
      <w:r w:rsidRPr="00833454">
        <w:rPr>
          <w:rFonts w:cstheme="minorHAnsi"/>
          <w:sz w:val="20"/>
          <w:szCs w:val="20"/>
          <w:lang w:val="en-US"/>
        </w:rPr>
        <w:t>)</w:t>
      </w:r>
    </w:p>
    <w:p w14:paraId="03D1946F" w14:textId="7445D65F" w:rsidR="00A40CB8" w:rsidRPr="00740887" w:rsidRDefault="00A40CB8" w:rsidP="00833454">
      <w:pPr>
        <w:spacing w:after="0" w:line="240" w:lineRule="auto"/>
        <w:ind w:hanging="284"/>
        <w:jc w:val="both"/>
        <w:rPr>
          <w:sz w:val="20"/>
          <w:szCs w:val="20"/>
        </w:rPr>
      </w:pPr>
      <w:proofErr w:type="spellStart"/>
      <w:r w:rsidRPr="008663A3">
        <w:rPr>
          <w:sz w:val="20"/>
          <w:szCs w:val="20"/>
        </w:rPr>
        <w:t>Wayenberg</w:t>
      </w:r>
      <w:proofErr w:type="spellEnd"/>
      <w:r w:rsidRPr="008663A3">
        <w:rPr>
          <w:sz w:val="20"/>
          <w:szCs w:val="20"/>
        </w:rPr>
        <w:t xml:space="preserve">, E., De </w:t>
      </w:r>
      <w:proofErr w:type="spellStart"/>
      <w:r w:rsidRPr="008663A3">
        <w:rPr>
          <w:sz w:val="20"/>
          <w:szCs w:val="20"/>
        </w:rPr>
        <w:t>Rynck</w:t>
      </w:r>
      <w:proofErr w:type="spellEnd"/>
      <w:r w:rsidRPr="008663A3">
        <w:rPr>
          <w:sz w:val="20"/>
          <w:szCs w:val="20"/>
        </w:rPr>
        <w:t xml:space="preserve">, F., </w:t>
      </w:r>
      <w:r w:rsidR="008663A3" w:rsidRPr="008663A3">
        <w:rPr>
          <w:sz w:val="20"/>
          <w:szCs w:val="20"/>
        </w:rPr>
        <w:t>S</w:t>
      </w:r>
      <w:r w:rsidR="008663A3">
        <w:rPr>
          <w:sz w:val="20"/>
          <w:szCs w:val="20"/>
        </w:rPr>
        <w:t>teyvers, K.</w:t>
      </w:r>
      <w:r w:rsidRPr="008663A3">
        <w:rPr>
          <w:sz w:val="20"/>
          <w:szCs w:val="20"/>
        </w:rPr>
        <w:t xml:space="preserve"> &amp; Pilet, J.-B. (2011). </w:t>
      </w:r>
      <w:r w:rsidRPr="00AD644F">
        <w:rPr>
          <w:sz w:val="20"/>
          <w:szCs w:val="20"/>
          <w:lang w:val="en-GB"/>
        </w:rPr>
        <w:t xml:space="preserve">Belgium: A Tale of Regional Divergence? In J. Loughlin, F. Hendriks &amp; A. Lidström (Eds.), </w:t>
      </w:r>
      <w:r w:rsidRPr="00AD644F">
        <w:rPr>
          <w:i/>
          <w:sz w:val="20"/>
          <w:szCs w:val="20"/>
          <w:lang w:val="en-GB"/>
        </w:rPr>
        <w:t>The Oxford Handbook of Local and Regional Democracy in Europe</w:t>
      </w:r>
      <w:r w:rsidRPr="00AD644F">
        <w:rPr>
          <w:sz w:val="20"/>
          <w:szCs w:val="20"/>
          <w:lang w:val="en-GB"/>
        </w:rPr>
        <w:t xml:space="preserve"> (pp. 71-95). </w:t>
      </w:r>
      <w:r w:rsidRPr="00740887">
        <w:rPr>
          <w:sz w:val="20"/>
          <w:szCs w:val="20"/>
        </w:rPr>
        <w:t xml:space="preserve">Oxford: Oxford University Press. </w:t>
      </w:r>
    </w:p>
    <w:p w14:paraId="1A381E00" w14:textId="77777777" w:rsidR="00A40CB8" w:rsidRDefault="00A40CB8" w:rsidP="00833454">
      <w:pPr>
        <w:spacing w:after="0" w:line="240" w:lineRule="auto"/>
        <w:ind w:hanging="284"/>
        <w:jc w:val="both"/>
        <w:rPr>
          <w:rFonts w:cstheme="minorHAnsi"/>
          <w:sz w:val="20"/>
          <w:szCs w:val="20"/>
          <w:lang w:val="en-GB"/>
        </w:rPr>
      </w:pPr>
      <w:r w:rsidRPr="00AD644F">
        <w:rPr>
          <w:rFonts w:cstheme="minorHAnsi"/>
          <w:sz w:val="20"/>
          <w:szCs w:val="20"/>
        </w:rPr>
        <w:t xml:space="preserve">Wille, F. &amp; Deschouwer, K. (2007). Het beschermde dorp: nationale tendensen bij gemeenteraadsverkiezingen. </w:t>
      </w:r>
      <w:r w:rsidRPr="00AD644F">
        <w:rPr>
          <w:rFonts w:cstheme="minorHAnsi"/>
          <w:sz w:val="20"/>
          <w:szCs w:val="20"/>
          <w:lang w:val="en-GB"/>
        </w:rPr>
        <w:t xml:space="preserve">Res </w:t>
      </w:r>
      <w:proofErr w:type="spellStart"/>
      <w:r w:rsidRPr="00AD644F">
        <w:rPr>
          <w:rFonts w:cstheme="minorHAnsi"/>
          <w:sz w:val="20"/>
          <w:szCs w:val="20"/>
          <w:lang w:val="en-GB"/>
        </w:rPr>
        <w:t>Publica</w:t>
      </w:r>
      <w:proofErr w:type="spellEnd"/>
      <w:r w:rsidRPr="00AD644F">
        <w:rPr>
          <w:rFonts w:cstheme="minorHAnsi"/>
          <w:sz w:val="20"/>
          <w:szCs w:val="20"/>
          <w:lang w:val="en-GB"/>
        </w:rPr>
        <w:t>, 49 (1), 67-68.</w:t>
      </w:r>
    </w:p>
    <w:p w14:paraId="6A74F479" w14:textId="50A517D9" w:rsidR="00666885" w:rsidRDefault="00666885">
      <w:pPr>
        <w:rPr>
          <w:b/>
          <w:lang w:val="en-GB"/>
        </w:rPr>
      </w:pPr>
      <w:r>
        <w:rPr>
          <w:b/>
          <w:lang w:val="en-GB"/>
        </w:rPr>
        <w:br w:type="page"/>
      </w:r>
    </w:p>
    <w:p w14:paraId="335899BF" w14:textId="6CC75A1E" w:rsidR="00A90FBE" w:rsidRDefault="00666885" w:rsidP="00666885">
      <w:pPr>
        <w:rPr>
          <w:b/>
          <w:lang w:val="en-GB"/>
        </w:rPr>
        <w:sectPr w:rsidR="00A90FBE">
          <w:footerReference w:type="default" r:id="rId12"/>
          <w:endnotePr>
            <w:numFmt w:val="decimal"/>
          </w:endnotePr>
          <w:pgSz w:w="11906" w:h="16838"/>
          <w:pgMar w:top="1417" w:right="1417" w:bottom="1417" w:left="1417" w:header="708" w:footer="708" w:gutter="0"/>
          <w:cols w:space="708"/>
          <w:docGrid w:linePitch="360"/>
        </w:sectPr>
      </w:pPr>
      <w:r>
        <w:rPr>
          <w:b/>
          <w:lang w:val="en-GB"/>
        </w:rPr>
        <w:lastRenderedPageBreak/>
        <w:br w:type="page"/>
      </w:r>
      <w:bookmarkStart w:id="0" w:name="_GoBack"/>
      <w:bookmarkEnd w:id="0"/>
    </w:p>
    <w:p w14:paraId="4114813A" w14:textId="6A591DE7" w:rsidR="00A90FBE" w:rsidRDefault="00A90FBE" w:rsidP="00666885">
      <w:pPr>
        <w:jc w:val="both"/>
        <w:rPr>
          <w:b/>
          <w:lang w:val="en-US"/>
        </w:rPr>
      </w:pPr>
    </w:p>
    <w:sectPr w:rsidR="00A90FB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FB55" w14:textId="77777777" w:rsidR="00FE259D" w:rsidRDefault="00FE259D" w:rsidP="0076490C">
      <w:pPr>
        <w:spacing w:after="0" w:line="240" w:lineRule="auto"/>
      </w:pPr>
      <w:r>
        <w:separator/>
      </w:r>
    </w:p>
  </w:endnote>
  <w:endnote w:type="continuationSeparator" w:id="0">
    <w:p w14:paraId="14279012" w14:textId="77777777" w:rsidR="00FE259D" w:rsidRDefault="00FE259D" w:rsidP="0076490C">
      <w:pPr>
        <w:spacing w:after="0" w:line="240" w:lineRule="auto"/>
      </w:pPr>
      <w:r>
        <w:continuationSeparator/>
      </w:r>
    </w:p>
  </w:endnote>
  <w:endnote w:id="1">
    <w:p w14:paraId="536C24FF" w14:textId="5D845F59" w:rsidR="005F47E1" w:rsidRPr="00CA13EE" w:rsidRDefault="005F47E1">
      <w:pPr>
        <w:pStyle w:val="EndnoteText"/>
        <w:rPr>
          <w:lang w:val="en-US"/>
        </w:rPr>
      </w:pPr>
      <w:r>
        <w:rPr>
          <w:rStyle w:val="EndnoteReference"/>
        </w:rPr>
        <w:endnoteRef/>
      </w:r>
      <w:r w:rsidRPr="00CA13EE">
        <w:rPr>
          <w:lang w:val="en-US"/>
        </w:rPr>
        <w:t xml:space="preserve"> </w:t>
      </w:r>
      <w:r>
        <w:rPr>
          <w:lang w:val="en-US"/>
        </w:rPr>
        <w:t>F</w:t>
      </w:r>
      <w:r w:rsidRPr="00CA13EE">
        <w:rPr>
          <w:sz w:val="18"/>
          <w:szCs w:val="18"/>
          <w:lang w:val="en-US"/>
        </w:rPr>
        <w:t>irst</w:t>
      </w:r>
      <w:r>
        <w:rPr>
          <w:sz w:val="18"/>
          <w:szCs w:val="18"/>
          <w:lang w:val="en-US"/>
        </w:rPr>
        <w:t>, we divided</w:t>
      </w:r>
      <w:r w:rsidRPr="00CA13EE">
        <w:rPr>
          <w:sz w:val="18"/>
          <w:szCs w:val="18"/>
          <w:lang w:val="en-US"/>
        </w:rPr>
        <w:t xml:space="preserve"> the entire manifesto into quasi-sentences. This is a sentence or a part of a sentence that contains one political message (</w:t>
      </w:r>
      <w:proofErr w:type="spellStart"/>
      <w:r w:rsidRPr="00CA13EE">
        <w:rPr>
          <w:sz w:val="18"/>
          <w:szCs w:val="18"/>
          <w:lang w:val="en-US"/>
        </w:rPr>
        <w:t>Volkens</w:t>
      </w:r>
      <w:proofErr w:type="spellEnd"/>
      <w:r w:rsidRPr="00CA13EE">
        <w:rPr>
          <w:sz w:val="18"/>
          <w:szCs w:val="18"/>
          <w:lang w:val="en-US"/>
        </w:rPr>
        <w:t xml:space="preserve">, 2002:3-4). Afterwards these quasi-sentences were assigned to the correct category of the coding scheme. </w:t>
      </w:r>
      <w:r>
        <w:rPr>
          <w:sz w:val="18"/>
          <w:szCs w:val="18"/>
          <w:lang w:val="en-US"/>
        </w:rPr>
        <w:t>Because t</w:t>
      </w:r>
      <w:r w:rsidRPr="00CA13EE">
        <w:rPr>
          <w:sz w:val="18"/>
          <w:szCs w:val="18"/>
          <w:lang w:val="en-US"/>
        </w:rPr>
        <w:t xml:space="preserve">he original CMP coding scheme was designed to grasp ideological positions on a national level, </w:t>
      </w:r>
      <w:r>
        <w:rPr>
          <w:sz w:val="18"/>
          <w:szCs w:val="18"/>
          <w:lang w:val="en-US"/>
        </w:rPr>
        <w:t xml:space="preserve">it </w:t>
      </w:r>
      <w:r w:rsidRPr="00CA13EE">
        <w:rPr>
          <w:sz w:val="18"/>
          <w:szCs w:val="18"/>
          <w:lang w:val="en-US"/>
        </w:rPr>
        <w:t>is useless for our local approach</w:t>
      </w:r>
      <w:r>
        <w:rPr>
          <w:sz w:val="18"/>
          <w:szCs w:val="18"/>
          <w:lang w:val="en-US"/>
        </w:rPr>
        <w:t>.</w:t>
      </w:r>
    </w:p>
  </w:endnote>
  <w:endnote w:id="2">
    <w:p w14:paraId="050FA2BF" w14:textId="6E71F6E0" w:rsidR="005F47E1" w:rsidRPr="00CA13EE" w:rsidRDefault="005F47E1">
      <w:pPr>
        <w:pStyle w:val="EndnoteText"/>
        <w:rPr>
          <w:sz w:val="18"/>
          <w:szCs w:val="18"/>
          <w:lang w:val="en-US"/>
        </w:rPr>
      </w:pPr>
      <w:r>
        <w:rPr>
          <w:rStyle w:val="EndnoteReference"/>
        </w:rPr>
        <w:endnoteRef/>
      </w:r>
      <w:r w:rsidRPr="00CA13EE">
        <w:rPr>
          <w:lang w:val="en-US"/>
        </w:rPr>
        <w:t xml:space="preserve"> </w:t>
      </w:r>
      <w:r w:rsidRPr="00CA13EE">
        <w:rPr>
          <w:sz w:val="18"/>
          <w:szCs w:val="18"/>
          <w:lang w:val="en-US"/>
        </w:rPr>
        <w:t>They were all distilled from the local competences as stated in municipal laws, combined clarification documents (VVSG, 2012).</w:t>
      </w:r>
    </w:p>
  </w:endnote>
  <w:endnote w:id="3">
    <w:p w14:paraId="0C831222" w14:textId="4322854B" w:rsidR="005F47E1" w:rsidRPr="004104E8" w:rsidRDefault="005F47E1">
      <w:pPr>
        <w:pStyle w:val="EndnoteText"/>
        <w:rPr>
          <w:sz w:val="18"/>
          <w:szCs w:val="18"/>
          <w:lang w:val="en-US"/>
        </w:rPr>
      </w:pPr>
      <w:r w:rsidRPr="00386A18">
        <w:rPr>
          <w:rStyle w:val="EndnoteReference"/>
          <w:lang w:val="en-US"/>
        </w:rPr>
        <w:endnoteRef/>
      </w:r>
      <w:r w:rsidRPr="004104E8">
        <w:rPr>
          <w:sz w:val="18"/>
          <w:szCs w:val="18"/>
          <w:lang w:val="en-US"/>
        </w:rPr>
        <w:t xml:space="preserve"> In total, 2840 pages were coded. To make a dis</w:t>
      </w:r>
      <w:r>
        <w:rPr>
          <w:sz w:val="18"/>
          <w:szCs w:val="18"/>
          <w:lang w:val="en-US"/>
        </w:rPr>
        <w:t>tinction between real manifesto</w:t>
      </w:r>
      <w:r w:rsidRPr="004104E8">
        <w:rPr>
          <w:sz w:val="18"/>
          <w:szCs w:val="18"/>
          <w:lang w:val="en-US"/>
        </w:rPr>
        <w:t>s and mere pamphl</w:t>
      </w:r>
      <w:r>
        <w:rPr>
          <w:sz w:val="18"/>
          <w:szCs w:val="18"/>
          <w:lang w:val="en-US"/>
        </w:rPr>
        <w:t>ets or leaflets, only manifesto</w:t>
      </w:r>
      <w:r w:rsidRPr="004104E8">
        <w:rPr>
          <w:sz w:val="18"/>
          <w:szCs w:val="18"/>
          <w:lang w:val="en-US"/>
        </w:rPr>
        <w:t>s containing at least 5 pages and 100 quasi-sentences were incorporated in the data. On average a manifesto existed of almost 32 pages or 566 quasi-sentences.</w:t>
      </w:r>
    </w:p>
  </w:endnote>
  <w:endnote w:id="4">
    <w:p w14:paraId="62C05D2A" w14:textId="74CE50F3" w:rsidR="005F47E1" w:rsidRPr="00130DFE" w:rsidRDefault="005F47E1">
      <w:pPr>
        <w:pStyle w:val="EndnoteText"/>
        <w:rPr>
          <w:sz w:val="18"/>
          <w:szCs w:val="18"/>
          <w:lang w:val="en-US"/>
        </w:rPr>
      </w:pPr>
      <w:r w:rsidRPr="00386A18">
        <w:rPr>
          <w:rStyle w:val="EndnoteReference"/>
          <w:lang w:val="en-US"/>
        </w:rPr>
        <w:endnoteRef/>
      </w:r>
      <w:r w:rsidRPr="004104E8">
        <w:rPr>
          <w:sz w:val="18"/>
          <w:szCs w:val="18"/>
          <w:lang w:val="en-US"/>
        </w:rPr>
        <w:t xml:space="preserve"> Our sample consists of 7 Flemish parties who can be conceived as national parties with an appropriate organization and who contested local elections throughout the entire region. Data was retrieved for the extreme left party PVDA (n = 8), the green party GROEN (n = 14), the social democrats of the Sp.a (n = 13), the Christian democrats of the CD&amp;V (n = 17), the liberal party Open VLD (n = 11), the Flemish-nationalist party N-VA (n = 15) and the extreme right </w:t>
      </w:r>
      <w:proofErr w:type="spellStart"/>
      <w:r w:rsidRPr="004104E8">
        <w:rPr>
          <w:sz w:val="18"/>
          <w:szCs w:val="18"/>
          <w:lang w:val="en-US"/>
        </w:rPr>
        <w:t>Vlaams</w:t>
      </w:r>
      <w:proofErr w:type="spellEnd"/>
      <w:r w:rsidRPr="004104E8">
        <w:rPr>
          <w:sz w:val="18"/>
          <w:szCs w:val="18"/>
          <w:lang w:val="en-US"/>
        </w:rPr>
        <w:t xml:space="preserve"> </w:t>
      </w:r>
      <w:proofErr w:type="spellStart"/>
      <w:r w:rsidRPr="004104E8">
        <w:rPr>
          <w:sz w:val="18"/>
          <w:szCs w:val="18"/>
          <w:lang w:val="en-US"/>
        </w:rPr>
        <w:t>Belang</w:t>
      </w:r>
      <w:proofErr w:type="spellEnd"/>
      <w:r w:rsidRPr="004104E8">
        <w:rPr>
          <w:sz w:val="18"/>
          <w:szCs w:val="18"/>
          <w:lang w:val="en-US"/>
        </w:rPr>
        <w:t xml:space="preserve"> (n = 11).</w:t>
      </w:r>
      <w:r>
        <w:rPr>
          <w:sz w:val="18"/>
          <w:szCs w:val="18"/>
          <w:lang w:val="en-US"/>
        </w:rPr>
        <w:t xml:space="preserve"> Except for the PVDA, all were represented at the regional parliament. CD&amp;V was the biggest fraction with 31 out of 124 seats. They had a coalition with socialists (19 seat) and the regionalists (16 seats). Open VLD and </w:t>
      </w:r>
      <w:proofErr w:type="spellStart"/>
      <w:r>
        <w:rPr>
          <w:sz w:val="18"/>
          <w:szCs w:val="18"/>
          <w:lang w:val="en-US"/>
        </w:rPr>
        <w:t>Vlaams</w:t>
      </w:r>
      <w:proofErr w:type="spellEnd"/>
      <w:r>
        <w:rPr>
          <w:sz w:val="18"/>
          <w:szCs w:val="18"/>
          <w:lang w:val="en-US"/>
        </w:rPr>
        <w:t xml:space="preserve"> </w:t>
      </w:r>
      <w:proofErr w:type="spellStart"/>
      <w:r>
        <w:rPr>
          <w:sz w:val="18"/>
          <w:szCs w:val="18"/>
          <w:lang w:val="en-US"/>
        </w:rPr>
        <w:t>Belang</w:t>
      </w:r>
      <w:proofErr w:type="spellEnd"/>
      <w:r>
        <w:rPr>
          <w:sz w:val="18"/>
          <w:szCs w:val="18"/>
          <w:lang w:val="en-US"/>
        </w:rPr>
        <w:t xml:space="preserve"> both received 24 seats and on the other side of the spectrum the greens gained 7 seats. A more libertarian party, </w:t>
      </w:r>
      <w:proofErr w:type="spellStart"/>
      <w:r>
        <w:rPr>
          <w:sz w:val="18"/>
          <w:szCs w:val="18"/>
          <w:lang w:val="en-US"/>
        </w:rPr>
        <w:t>Lijst</w:t>
      </w:r>
      <w:proofErr w:type="spellEnd"/>
      <w:r>
        <w:rPr>
          <w:sz w:val="18"/>
          <w:szCs w:val="18"/>
          <w:lang w:val="en-US"/>
        </w:rPr>
        <w:t xml:space="preserve"> </w:t>
      </w:r>
      <w:proofErr w:type="spellStart"/>
      <w:r>
        <w:rPr>
          <w:sz w:val="18"/>
          <w:szCs w:val="18"/>
          <w:lang w:val="en-US"/>
        </w:rPr>
        <w:t>Dedecker</w:t>
      </w:r>
      <w:proofErr w:type="spellEnd"/>
      <w:r>
        <w:rPr>
          <w:sz w:val="18"/>
          <w:szCs w:val="18"/>
          <w:lang w:val="en-US"/>
        </w:rPr>
        <w:t xml:space="preserve">, was popular at the beginning of the 21th century and received 7 Flemish seats but quickly lost its appeal and only participated in a limited number of municipalities for the latest local elections. As a result, they were not included.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2258"/>
      <w:docPartObj>
        <w:docPartGallery w:val="Page Numbers (Bottom of Page)"/>
        <w:docPartUnique/>
      </w:docPartObj>
    </w:sdtPr>
    <w:sdtEndPr>
      <w:rPr>
        <w:noProof/>
      </w:rPr>
    </w:sdtEndPr>
    <w:sdtContent>
      <w:p w14:paraId="1B115730" w14:textId="77777777" w:rsidR="005F47E1" w:rsidRDefault="005F47E1">
        <w:pPr>
          <w:pStyle w:val="Footer"/>
          <w:jc w:val="right"/>
        </w:pPr>
        <w:r>
          <w:fldChar w:fldCharType="begin"/>
        </w:r>
        <w:r>
          <w:instrText xml:space="preserve"> PAGE   \* MERGEFORMAT </w:instrText>
        </w:r>
        <w:r>
          <w:fldChar w:fldCharType="separate"/>
        </w:r>
        <w:r w:rsidR="00666885">
          <w:rPr>
            <w:noProof/>
          </w:rPr>
          <w:t>1</w:t>
        </w:r>
        <w:r>
          <w:rPr>
            <w:noProof/>
          </w:rPr>
          <w:fldChar w:fldCharType="end"/>
        </w:r>
      </w:p>
    </w:sdtContent>
  </w:sdt>
  <w:p w14:paraId="034A81A4" w14:textId="77777777" w:rsidR="005F47E1" w:rsidRDefault="005F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FA80" w14:textId="77777777" w:rsidR="00FE259D" w:rsidRDefault="00FE259D" w:rsidP="0076490C">
      <w:pPr>
        <w:spacing w:after="0" w:line="240" w:lineRule="auto"/>
      </w:pPr>
      <w:r>
        <w:separator/>
      </w:r>
    </w:p>
  </w:footnote>
  <w:footnote w:type="continuationSeparator" w:id="0">
    <w:p w14:paraId="3FE474E8" w14:textId="77777777" w:rsidR="00FE259D" w:rsidRDefault="00FE259D" w:rsidP="0076490C">
      <w:pPr>
        <w:spacing w:after="0" w:line="240" w:lineRule="auto"/>
      </w:pPr>
      <w:r>
        <w:continuationSeparator/>
      </w:r>
    </w:p>
  </w:footnote>
  <w:footnote w:id="1">
    <w:p w14:paraId="7D3D3F7F" w14:textId="7B2627E2" w:rsidR="005F47E1" w:rsidRDefault="005F47E1">
      <w:pPr>
        <w:pStyle w:val="FootnoteText"/>
        <w:rPr>
          <w:lang w:val="en-US"/>
        </w:rPr>
      </w:pPr>
      <w:r>
        <w:rPr>
          <w:rStyle w:val="FootnoteReference"/>
        </w:rPr>
        <w:footnoteRef/>
      </w:r>
      <w:r w:rsidRPr="0088380E">
        <w:rPr>
          <w:lang w:val="en-US"/>
        </w:rPr>
        <w:t xml:space="preserve"> CORRESPONDENCE ADDRESS: </w:t>
      </w:r>
      <w:r>
        <w:rPr>
          <w:lang w:val="en-US"/>
        </w:rPr>
        <w:t xml:space="preserve">Nicolas Van de Voorde, </w:t>
      </w:r>
      <w:proofErr w:type="spellStart"/>
      <w:r>
        <w:rPr>
          <w:lang w:val="en-US"/>
        </w:rPr>
        <w:t>Phd</w:t>
      </w:r>
      <w:proofErr w:type="spellEnd"/>
      <w:r>
        <w:rPr>
          <w:lang w:val="en-US"/>
        </w:rPr>
        <w:t>-candidate</w:t>
      </w:r>
      <w:r w:rsidRPr="0088380E">
        <w:rPr>
          <w:lang w:val="en-US"/>
        </w:rPr>
        <w:t xml:space="preserve">, Centre for Local Politics, Department of Political Science, Ghent University, </w:t>
      </w:r>
      <w:proofErr w:type="spellStart"/>
      <w:r w:rsidRPr="0088380E">
        <w:rPr>
          <w:lang w:val="en-US"/>
        </w:rPr>
        <w:t>Universiteitstraat</w:t>
      </w:r>
      <w:proofErr w:type="spellEnd"/>
      <w:r w:rsidRPr="0088380E">
        <w:rPr>
          <w:lang w:val="en-US"/>
        </w:rPr>
        <w:t xml:space="preserve"> 8, 9000 Gent, Belgium, email: </w:t>
      </w:r>
      <w:r>
        <w:rPr>
          <w:lang w:val="en-US"/>
        </w:rPr>
        <w:t>Nicolas.vandevoorde</w:t>
      </w:r>
      <w:r w:rsidRPr="0088380E">
        <w:rPr>
          <w:lang w:val="en-US"/>
        </w:rPr>
        <w:t xml:space="preserve">@ugent.be. </w:t>
      </w:r>
    </w:p>
    <w:p w14:paraId="188B1479" w14:textId="4F6CC271" w:rsidR="005F47E1" w:rsidRDefault="005F47E1" w:rsidP="000C14A4">
      <w:pPr>
        <w:pStyle w:val="FootnoteText"/>
        <w:rPr>
          <w:lang w:val="en-US"/>
        </w:rPr>
      </w:pPr>
      <w:r>
        <w:rPr>
          <w:lang w:val="en-US"/>
        </w:rPr>
        <w:t xml:space="preserve">Nicolas </w:t>
      </w:r>
      <w:proofErr w:type="spellStart"/>
      <w:r>
        <w:rPr>
          <w:lang w:val="en-US"/>
        </w:rPr>
        <w:t>Bouteca</w:t>
      </w:r>
      <w:proofErr w:type="spellEnd"/>
      <w:r>
        <w:rPr>
          <w:lang w:val="en-US"/>
        </w:rPr>
        <w:t xml:space="preserve">, </w:t>
      </w:r>
      <w:r w:rsidR="008663A3">
        <w:rPr>
          <w:lang w:val="en-US"/>
        </w:rPr>
        <w:t>Assistant Professor</w:t>
      </w:r>
      <w:r>
        <w:rPr>
          <w:lang w:val="en-US"/>
        </w:rPr>
        <w:t xml:space="preserve">, Ghent Association for the Study of Parties and Representation, </w:t>
      </w:r>
      <w:r w:rsidRPr="0088380E">
        <w:rPr>
          <w:lang w:val="en-US"/>
        </w:rPr>
        <w:t xml:space="preserve">Department of Political Science, Ghent University, </w:t>
      </w:r>
      <w:proofErr w:type="spellStart"/>
      <w:r w:rsidRPr="0088380E">
        <w:rPr>
          <w:lang w:val="en-US"/>
        </w:rPr>
        <w:t>Universiteitstraat</w:t>
      </w:r>
      <w:proofErr w:type="spellEnd"/>
      <w:r w:rsidRPr="0088380E">
        <w:rPr>
          <w:lang w:val="en-US"/>
        </w:rPr>
        <w:t xml:space="preserve"> 8, 9000 Gent, Belgium, email: </w:t>
      </w:r>
      <w:r>
        <w:rPr>
          <w:lang w:val="en-US"/>
        </w:rPr>
        <w:t>Nicolas.bouteca</w:t>
      </w:r>
      <w:r w:rsidRPr="0088380E">
        <w:rPr>
          <w:lang w:val="en-US"/>
        </w:rPr>
        <w:t xml:space="preserve">@ugent.be. </w:t>
      </w:r>
    </w:p>
    <w:p w14:paraId="5A7DBAF7" w14:textId="703CD9B3" w:rsidR="005F47E1" w:rsidRDefault="005F47E1" w:rsidP="000C14A4">
      <w:pPr>
        <w:pStyle w:val="FootnoteText"/>
        <w:rPr>
          <w:lang w:val="en-US"/>
        </w:rPr>
      </w:pPr>
      <w:r>
        <w:rPr>
          <w:lang w:val="en-US"/>
        </w:rPr>
        <w:t xml:space="preserve">Tom Schamp, </w:t>
      </w:r>
      <w:r w:rsidR="00C06CFF">
        <w:rPr>
          <w:lang w:val="en-US"/>
        </w:rPr>
        <w:t xml:space="preserve"> Research </w:t>
      </w:r>
      <w:proofErr w:type="spellStart"/>
      <w:r>
        <w:rPr>
          <w:lang w:val="en-US"/>
        </w:rPr>
        <w:t>assistent</w:t>
      </w:r>
      <w:proofErr w:type="spellEnd"/>
      <w:r>
        <w:rPr>
          <w:lang w:val="en-US"/>
        </w:rPr>
        <w:t xml:space="preserve">, Ghent Association for the Study of Parties and Representation, </w:t>
      </w:r>
      <w:r w:rsidRPr="0088380E">
        <w:rPr>
          <w:lang w:val="en-US"/>
        </w:rPr>
        <w:t xml:space="preserve">Department of Political Science, Ghent University, </w:t>
      </w:r>
      <w:proofErr w:type="spellStart"/>
      <w:r w:rsidRPr="0088380E">
        <w:rPr>
          <w:lang w:val="en-US"/>
        </w:rPr>
        <w:t>Universiteitstraat</w:t>
      </w:r>
      <w:proofErr w:type="spellEnd"/>
      <w:r w:rsidRPr="0088380E">
        <w:rPr>
          <w:lang w:val="en-US"/>
        </w:rPr>
        <w:t xml:space="preserve"> 8, 9000 Gent, Belgium, email: </w:t>
      </w:r>
      <w:r>
        <w:rPr>
          <w:lang w:val="en-US"/>
        </w:rPr>
        <w:t>Tom.schamp</w:t>
      </w:r>
      <w:r w:rsidRPr="0088380E">
        <w:rPr>
          <w:lang w:val="en-US"/>
        </w:rPr>
        <w:t xml:space="preserve">@ugent.be. </w:t>
      </w:r>
    </w:p>
    <w:p w14:paraId="34E4324C" w14:textId="6BACA71D" w:rsidR="005F47E1" w:rsidRDefault="005F47E1" w:rsidP="000C14A4">
      <w:pPr>
        <w:pStyle w:val="FootnoteText"/>
        <w:rPr>
          <w:lang w:val="en-US"/>
        </w:rPr>
      </w:pPr>
      <w:r>
        <w:rPr>
          <w:lang w:val="en-US"/>
        </w:rPr>
        <w:t xml:space="preserve">Kristof Steyvers, Associate Professor, </w:t>
      </w:r>
      <w:r w:rsidRPr="0088380E">
        <w:rPr>
          <w:lang w:val="en-US"/>
        </w:rPr>
        <w:t>Centre for Local Politics</w:t>
      </w:r>
      <w:r>
        <w:rPr>
          <w:lang w:val="en-US"/>
        </w:rPr>
        <w:t xml:space="preserve">, </w:t>
      </w:r>
      <w:r w:rsidRPr="0088380E">
        <w:rPr>
          <w:lang w:val="en-US"/>
        </w:rPr>
        <w:t xml:space="preserve">Department of Political Science, Ghent University, </w:t>
      </w:r>
      <w:proofErr w:type="spellStart"/>
      <w:r w:rsidRPr="0088380E">
        <w:rPr>
          <w:lang w:val="en-US"/>
        </w:rPr>
        <w:t>Universiteitstraat</w:t>
      </w:r>
      <w:proofErr w:type="spellEnd"/>
      <w:r w:rsidRPr="0088380E">
        <w:rPr>
          <w:lang w:val="en-US"/>
        </w:rPr>
        <w:t xml:space="preserve"> 8, 9000 Gent, Belgium, email: </w:t>
      </w:r>
      <w:r>
        <w:rPr>
          <w:lang w:val="en-US"/>
        </w:rPr>
        <w:t>Kristof.steyvers</w:t>
      </w:r>
      <w:r w:rsidRPr="0088380E">
        <w:rPr>
          <w:lang w:val="en-US"/>
        </w:rPr>
        <w:t xml:space="preserve">@ugent.be. </w:t>
      </w:r>
    </w:p>
    <w:p w14:paraId="5E63C75D" w14:textId="77777777" w:rsidR="005F47E1" w:rsidRDefault="005F47E1" w:rsidP="000C14A4">
      <w:pPr>
        <w:pStyle w:val="FootnoteText"/>
        <w:rPr>
          <w:lang w:val="en-US"/>
        </w:rPr>
      </w:pPr>
    </w:p>
    <w:p w14:paraId="179E6BD1" w14:textId="77777777" w:rsidR="005F47E1" w:rsidRDefault="005F47E1" w:rsidP="000C14A4">
      <w:pPr>
        <w:pStyle w:val="FootnoteText"/>
        <w:rPr>
          <w:lang w:val="en-US"/>
        </w:rPr>
      </w:pPr>
    </w:p>
    <w:p w14:paraId="01D512C0" w14:textId="38A67AEE" w:rsidR="005F47E1" w:rsidRPr="0088380E" w:rsidRDefault="005F47E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34D5A"/>
    <w:multiLevelType w:val="hybridMultilevel"/>
    <w:tmpl w:val="ADD2C760"/>
    <w:lvl w:ilvl="0" w:tplc="8D905596">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0C"/>
    <w:rsid w:val="000107B5"/>
    <w:rsid w:val="00014424"/>
    <w:rsid w:val="0001697C"/>
    <w:rsid w:val="00027B84"/>
    <w:rsid w:val="000527CA"/>
    <w:rsid w:val="00062E81"/>
    <w:rsid w:val="00063B2A"/>
    <w:rsid w:val="00074A37"/>
    <w:rsid w:val="00084622"/>
    <w:rsid w:val="00084F7D"/>
    <w:rsid w:val="0009039E"/>
    <w:rsid w:val="00092600"/>
    <w:rsid w:val="000953C0"/>
    <w:rsid w:val="000A4884"/>
    <w:rsid w:val="000C14A4"/>
    <w:rsid w:val="000D006B"/>
    <w:rsid w:val="000D02FE"/>
    <w:rsid w:val="000D545A"/>
    <w:rsid w:val="000D7200"/>
    <w:rsid w:val="000E0B92"/>
    <w:rsid w:val="000E2035"/>
    <w:rsid w:val="000F3D2F"/>
    <w:rsid w:val="0011322E"/>
    <w:rsid w:val="00114AA6"/>
    <w:rsid w:val="00116E6A"/>
    <w:rsid w:val="00125D27"/>
    <w:rsid w:val="00127CD4"/>
    <w:rsid w:val="00130DFE"/>
    <w:rsid w:val="001446E0"/>
    <w:rsid w:val="00150E93"/>
    <w:rsid w:val="00196811"/>
    <w:rsid w:val="001A36A0"/>
    <w:rsid w:val="001A5357"/>
    <w:rsid w:val="001B19FA"/>
    <w:rsid w:val="001D2CB3"/>
    <w:rsid w:val="001F4A93"/>
    <w:rsid w:val="00201433"/>
    <w:rsid w:val="00202183"/>
    <w:rsid w:val="0023218A"/>
    <w:rsid w:val="002410C2"/>
    <w:rsid w:val="00252CA5"/>
    <w:rsid w:val="0025756E"/>
    <w:rsid w:val="00257F58"/>
    <w:rsid w:val="00262B52"/>
    <w:rsid w:val="002707E0"/>
    <w:rsid w:val="0027487F"/>
    <w:rsid w:val="0028506C"/>
    <w:rsid w:val="00286A38"/>
    <w:rsid w:val="00291FFB"/>
    <w:rsid w:val="002A026A"/>
    <w:rsid w:val="002B3616"/>
    <w:rsid w:val="002B546B"/>
    <w:rsid w:val="002F208A"/>
    <w:rsid w:val="002F7C48"/>
    <w:rsid w:val="003114D2"/>
    <w:rsid w:val="0031216E"/>
    <w:rsid w:val="00332272"/>
    <w:rsid w:val="00337BC8"/>
    <w:rsid w:val="0034098B"/>
    <w:rsid w:val="0034187D"/>
    <w:rsid w:val="003421DA"/>
    <w:rsid w:val="003562E7"/>
    <w:rsid w:val="00381A60"/>
    <w:rsid w:val="00384DDA"/>
    <w:rsid w:val="00385DBE"/>
    <w:rsid w:val="00385F21"/>
    <w:rsid w:val="00386A18"/>
    <w:rsid w:val="00395FB4"/>
    <w:rsid w:val="003A53B3"/>
    <w:rsid w:val="003C57F6"/>
    <w:rsid w:val="003C7C40"/>
    <w:rsid w:val="003D0C45"/>
    <w:rsid w:val="003D1027"/>
    <w:rsid w:val="003D1924"/>
    <w:rsid w:val="003E2AF3"/>
    <w:rsid w:val="003E3407"/>
    <w:rsid w:val="0040422D"/>
    <w:rsid w:val="00406C58"/>
    <w:rsid w:val="004104E8"/>
    <w:rsid w:val="0043204D"/>
    <w:rsid w:val="0045385C"/>
    <w:rsid w:val="00474BAB"/>
    <w:rsid w:val="004876F9"/>
    <w:rsid w:val="004A71FD"/>
    <w:rsid w:val="004C4FF7"/>
    <w:rsid w:val="004D4051"/>
    <w:rsid w:val="004D4BD9"/>
    <w:rsid w:val="004E6057"/>
    <w:rsid w:val="00514E0B"/>
    <w:rsid w:val="00521069"/>
    <w:rsid w:val="0053179E"/>
    <w:rsid w:val="00542901"/>
    <w:rsid w:val="00546CDE"/>
    <w:rsid w:val="00556DB0"/>
    <w:rsid w:val="005615E9"/>
    <w:rsid w:val="00561BA7"/>
    <w:rsid w:val="0057249E"/>
    <w:rsid w:val="00575C10"/>
    <w:rsid w:val="005A55D1"/>
    <w:rsid w:val="005B0913"/>
    <w:rsid w:val="005B4406"/>
    <w:rsid w:val="005B5D82"/>
    <w:rsid w:val="005C3EE7"/>
    <w:rsid w:val="005D39FC"/>
    <w:rsid w:val="005E5C13"/>
    <w:rsid w:val="005F2D32"/>
    <w:rsid w:val="005F47E1"/>
    <w:rsid w:val="005F7BF9"/>
    <w:rsid w:val="00615998"/>
    <w:rsid w:val="00625FE2"/>
    <w:rsid w:val="00626ABE"/>
    <w:rsid w:val="00633B80"/>
    <w:rsid w:val="006346B0"/>
    <w:rsid w:val="00644FA8"/>
    <w:rsid w:val="0066464D"/>
    <w:rsid w:val="006651DE"/>
    <w:rsid w:val="00666885"/>
    <w:rsid w:val="00672B44"/>
    <w:rsid w:val="00695AF9"/>
    <w:rsid w:val="00697092"/>
    <w:rsid w:val="006A45AB"/>
    <w:rsid w:val="006D7AFB"/>
    <w:rsid w:val="006E2299"/>
    <w:rsid w:val="007062AC"/>
    <w:rsid w:val="007119E0"/>
    <w:rsid w:val="007156DE"/>
    <w:rsid w:val="007273F5"/>
    <w:rsid w:val="00731B65"/>
    <w:rsid w:val="00740887"/>
    <w:rsid w:val="00750F2B"/>
    <w:rsid w:val="00760452"/>
    <w:rsid w:val="007641D6"/>
    <w:rsid w:val="0076490C"/>
    <w:rsid w:val="00764BBF"/>
    <w:rsid w:val="00766F7A"/>
    <w:rsid w:val="00777625"/>
    <w:rsid w:val="007950C5"/>
    <w:rsid w:val="007A7D44"/>
    <w:rsid w:val="007B1440"/>
    <w:rsid w:val="007C5F17"/>
    <w:rsid w:val="007D1ED8"/>
    <w:rsid w:val="007E23B0"/>
    <w:rsid w:val="007E3A6D"/>
    <w:rsid w:val="00803CE2"/>
    <w:rsid w:val="008070F4"/>
    <w:rsid w:val="008217EF"/>
    <w:rsid w:val="00833454"/>
    <w:rsid w:val="0083347E"/>
    <w:rsid w:val="008420B7"/>
    <w:rsid w:val="008663A3"/>
    <w:rsid w:val="00870718"/>
    <w:rsid w:val="00873B35"/>
    <w:rsid w:val="00874AC4"/>
    <w:rsid w:val="00880040"/>
    <w:rsid w:val="00881F68"/>
    <w:rsid w:val="0088380E"/>
    <w:rsid w:val="0089489E"/>
    <w:rsid w:val="008A1C55"/>
    <w:rsid w:val="008A6194"/>
    <w:rsid w:val="008B6D29"/>
    <w:rsid w:val="008C0B81"/>
    <w:rsid w:val="008C0D50"/>
    <w:rsid w:val="008C6064"/>
    <w:rsid w:val="008D1298"/>
    <w:rsid w:val="008D4C5B"/>
    <w:rsid w:val="008E574C"/>
    <w:rsid w:val="009313BD"/>
    <w:rsid w:val="009316D5"/>
    <w:rsid w:val="00937CB0"/>
    <w:rsid w:val="00940070"/>
    <w:rsid w:val="00940E7C"/>
    <w:rsid w:val="00954368"/>
    <w:rsid w:val="0096284B"/>
    <w:rsid w:val="00962990"/>
    <w:rsid w:val="00966514"/>
    <w:rsid w:val="009720CB"/>
    <w:rsid w:val="00976375"/>
    <w:rsid w:val="009769B0"/>
    <w:rsid w:val="00976AF2"/>
    <w:rsid w:val="0098677B"/>
    <w:rsid w:val="009953E7"/>
    <w:rsid w:val="009A1910"/>
    <w:rsid w:val="009A2481"/>
    <w:rsid w:val="009A43CF"/>
    <w:rsid w:val="009A4401"/>
    <w:rsid w:val="009A7E53"/>
    <w:rsid w:val="009B5B3D"/>
    <w:rsid w:val="009C783B"/>
    <w:rsid w:val="009D266F"/>
    <w:rsid w:val="009D2D52"/>
    <w:rsid w:val="009E343A"/>
    <w:rsid w:val="009E5733"/>
    <w:rsid w:val="00A20C48"/>
    <w:rsid w:val="00A219F1"/>
    <w:rsid w:val="00A364EB"/>
    <w:rsid w:val="00A40CB8"/>
    <w:rsid w:val="00A4474C"/>
    <w:rsid w:val="00A447CC"/>
    <w:rsid w:val="00A45C08"/>
    <w:rsid w:val="00A5035A"/>
    <w:rsid w:val="00A52419"/>
    <w:rsid w:val="00A71619"/>
    <w:rsid w:val="00A81FA7"/>
    <w:rsid w:val="00A90FBE"/>
    <w:rsid w:val="00AB36D2"/>
    <w:rsid w:val="00AB48FC"/>
    <w:rsid w:val="00AB6963"/>
    <w:rsid w:val="00AC5D57"/>
    <w:rsid w:val="00AD4C41"/>
    <w:rsid w:val="00AD5922"/>
    <w:rsid w:val="00AD644F"/>
    <w:rsid w:val="00AE228A"/>
    <w:rsid w:val="00AF088F"/>
    <w:rsid w:val="00B04A43"/>
    <w:rsid w:val="00B25678"/>
    <w:rsid w:val="00B26B54"/>
    <w:rsid w:val="00B34C2C"/>
    <w:rsid w:val="00B37BA5"/>
    <w:rsid w:val="00B415D5"/>
    <w:rsid w:val="00B53B47"/>
    <w:rsid w:val="00B574E5"/>
    <w:rsid w:val="00B616BB"/>
    <w:rsid w:val="00B835B7"/>
    <w:rsid w:val="00B92797"/>
    <w:rsid w:val="00BA3A11"/>
    <w:rsid w:val="00BB2CE7"/>
    <w:rsid w:val="00BB728F"/>
    <w:rsid w:val="00BC2459"/>
    <w:rsid w:val="00BC5F6E"/>
    <w:rsid w:val="00BD0DA4"/>
    <w:rsid w:val="00BE0281"/>
    <w:rsid w:val="00BE4602"/>
    <w:rsid w:val="00BF2F59"/>
    <w:rsid w:val="00BF3433"/>
    <w:rsid w:val="00BF43A0"/>
    <w:rsid w:val="00BF59AC"/>
    <w:rsid w:val="00C0186F"/>
    <w:rsid w:val="00C06CFF"/>
    <w:rsid w:val="00C14467"/>
    <w:rsid w:val="00C1529F"/>
    <w:rsid w:val="00C20176"/>
    <w:rsid w:val="00C31F66"/>
    <w:rsid w:val="00C41949"/>
    <w:rsid w:val="00C42A7D"/>
    <w:rsid w:val="00C52599"/>
    <w:rsid w:val="00C8619A"/>
    <w:rsid w:val="00CA13EE"/>
    <w:rsid w:val="00CB55DE"/>
    <w:rsid w:val="00CC02AD"/>
    <w:rsid w:val="00CC1255"/>
    <w:rsid w:val="00CD7981"/>
    <w:rsid w:val="00CE3F5F"/>
    <w:rsid w:val="00CF2424"/>
    <w:rsid w:val="00CF6F00"/>
    <w:rsid w:val="00D01E6B"/>
    <w:rsid w:val="00D11F86"/>
    <w:rsid w:val="00D14F20"/>
    <w:rsid w:val="00D15E5E"/>
    <w:rsid w:val="00D24364"/>
    <w:rsid w:val="00D3010F"/>
    <w:rsid w:val="00D44747"/>
    <w:rsid w:val="00D51617"/>
    <w:rsid w:val="00D57CC8"/>
    <w:rsid w:val="00D67208"/>
    <w:rsid w:val="00D74DC9"/>
    <w:rsid w:val="00D81421"/>
    <w:rsid w:val="00D8445B"/>
    <w:rsid w:val="00D87763"/>
    <w:rsid w:val="00D90B6B"/>
    <w:rsid w:val="00DA66B2"/>
    <w:rsid w:val="00DC7264"/>
    <w:rsid w:val="00DD5A20"/>
    <w:rsid w:val="00DD6053"/>
    <w:rsid w:val="00DE0067"/>
    <w:rsid w:val="00DE16CA"/>
    <w:rsid w:val="00DE2297"/>
    <w:rsid w:val="00DE4108"/>
    <w:rsid w:val="00DE5940"/>
    <w:rsid w:val="00DF2C32"/>
    <w:rsid w:val="00E001D3"/>
    <w:rsid w:val="00E035D2"/>
    <w:rsid w:val="00E213C0"/>
    <w:rsid w:val="00E26184"/>
    <w:rsid w:val="00E31019"/>
    <w:rsid w:val="00E409E3"/>
    <w:rsid w:val="00E42453"/>
    <w:rsid w:val="00E452A8"/>
    <w:rsid w:val="00E45517"/>
    <w:rsid w:val="00E554F8"/>
    <w:rsid w:val="00E56361"/>
    <w:rsid w:val="00E5778A"/>
    <w:rsid w:val="00E7476E"/>
    <w:rsid w:val="00E8285F"/>
    <w:rsid w:val="00E8728D"/>
    <w:rsid w:val="00E92B5A"/>
    <w:rsid w:val="00EA5957"/>
    <w:rsid w:val="00EC1FB9"/>
    <w:rsid w:val="00EE6E79"/>
    <w:rsid w:val="00EF15BC"/>
    <w:rsid w:val="00EF396D"/>
    <w:rsid w:val="00EF6A97"/>
    <w:rsid w:val="00F01574"/>
    <w:rsid w:val="00F0507B"/>
    <w:rsid w:val="00F07CBA"/>
    <w:rsid w:val="00F1790E"/>
    <w:rsid w:val="00F345ED"/>
    <w:rsid w:val="00F649D3"/>
    <w:rsid w:val="00F75BAE"/>
    <w:rsid w:val="00F86A3E"/>
    <w:rsid w:val="00FA18FE"/>
    <w:rsid w:val="00FA2DC9"/>
    <w:rsid w:val="00FA5994"/>
    <w:rsid w:val="00FA6B91"/>
    <w:rsid w:val="00FB01A2"/>
    <w:rsid w:val="00FB1602"/>
    <w:rsid w:val="00FC1C3A"/>
    <w:rsid w:val="00FC5BB4"/>
    <w:rsid w:val="00FD630C"/>
    <w:rsid w:val="00FE07FC"/>
    <w:rsid w:val="00FE0B0E"/>
    <w:rsid w:val="00FE259D"/>
    <w:rsid w:val="00FF691E"/>
    <w:rsid w:val="00FF7B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8B29"/>
  <w15:docId w15:val="{A8E256A3-0ECE-49DF-BE37-FEB4FE3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49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90C"/>
    <w:rPr>
      <w:sz w:val="20"/>
      <w:szCs w:val="20"/>
    </w:rPr>
  </w:style>
  <w:style w:type="character" w:styleId="EndnoteReference">
    <w:name w:val="endnote reference"/>
    <w:basedOn w:val="DefaultParagraphFont"/>
    <w:uiPriority w:val="99"/>
    <w:semiHidden/>
    <w:unhideWhenUsed/>
    <w:rsid w:val="0076490C"/>
    <w:rPr>
      <w:vertAlign w:val="superscript"/>
    </w:rPr>
  </w:style>
  <w:style w:type="character" w:styleId="Hyperlink">
    <w:name w:val="Hyperlink"/>
    <w:basedOn w:val="DefaultParagraphFont"/>
    <w:uiPriority w:val="99"/>
    <w:unhideWhenUsed/>
    <w:rsid w:val="0076490C"/>
    <w:rPr>
      <w:color w:val="0000FF" w:themeColor="hyperlink"/>
      <w:u w:val="single"/>
    </w:rPr>
  </w:style>
  <w:style w:type="paragraph" w:styleId="Footer">
    <w:name w:val="footer"/>
    <w:basedOn w:val="Normal"/>
    <w:link w:val="FooterChar"/>
    <w:uiPriority w:val="99"/>
    <w:unhideWhenUsed/>
    <w:rsid w:val="00764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90C"/>
  </w:style>
  <w:style w:type="paragraph" w:styleId="FootnoteText">
    <w:name w:val="footnote text"/>
    <w:basedOn w:val="Normal"/>
    <w:link w:val="FootnoteTextChar"/>
    <w:unhideWhenUsed/>
    <w:rsid w:val="0076490C"/>
    <w:pPr>
      <w:spacing w:after="0" w:line="240" w:lineRule="auto"/>
    </w:pPr>
    <w:rPr>
      <w:sz w:val="20"/>
      <w:szCs w:val="20"/>
    </w:rPr>
  </w:style>
  <w:style w:type="character" w:customStyle="1" w:styleId="FootnoteTextChar">
    <w:name w:val="Footnote Text Char"/>
    <w:basedOn w:val="DefaultParagraphFont"/>
    <w:link w:val="FootnoteText"/>
    <w:rsid w:val="0076490C"/>
    <w:rPr>
      <w:sz w:val="20"/>
      <w:szCs w:val="20"/>
    </w:rPr>
  </w:style>
  <w:style w:type="paragraph" w:styleId="CommentText">
    <w:name w:val="annotation text"/>
    <w:basedOn w:val="Normal"/>
    <w:link w:val="CommentTextChar"/>
    <w:uiPriority w:val="99"/>
    <w:semiHidden/>
    <w:unhideWhenUsed/>
    <w:rsid w:val="000E2035"/>
    <w:pPr>
      <w:spacing w:after="0" w:line="240" w:lineRule="auto"/>
    </w:pPr>
    <w:rPr>
      <w:rFonts w:ascii="Times New Roman" w:eastAsia="Times New Roman" w:hAnsi="Times New Roman" w:cs="Times New Roman"/>
      <w:sz w:val="20"/>
      <w:szCs w:val="20"/>
      <w:lang w:val="en-US" w:eastAsia="nl-NL"/>
    </w:rPr>
  </w:style>
  <w:style w:type="character" w:customStyle="1" w:styleId="CommentTextChar">
    <w:name w:val="Comment Text Char"/>
    <w:basedOn w:val="DefaultParagraphFont"/>
    <w:link w:val="CommentText"/>
    <w:uiPriority w:val="99"/>
    <w:semiHidden/>
    <w:rsid w:val="000E2035"/>
    <w:rPr>
      <w:rFonts w:ascii="Times New Roman" w:eastAsia="Times New Roman" w:hAnsi="Times New Roman" w:cs="Times New Roman"/>
      <w:sz w:val="20"/>
      <w:szCs w:val="20"/>
      <w:lang w:val="en-US" w:eastAsia="nl-NL"/>
    </w:rPr>
  </w:style>
  <w:style w:type="character" w:styleId="FootnoteReference">
    <w:name w:val="footnote reference"/>
    <w:semiHidden/>
    <w:unhideWhenUsed/>
    <w:rsid w:val="000E2035"/>
    <w:rPr>
      <w:vertAlign w:val="superscript"/>
    </w:rPr>
  </w:style>
  <w:style w:type="character" w:styleId="CommentReference">
    <w:name w:val="annotation reference"/>
    <w:basedOn w:val="DefaultParagraphFont"/>
    <w:uiPriority w:val="99"/>
    <w:semiHidden/>
    <w:unhideWhenUsed/>
    <w:rsid w:val="000E2035"/>
    <w:rPr>
      <w:sz w:val="16"/>
      <w:szCs w:val="16"/>
    </w:rPr>
  </w:style>
  <w:style w:type="paragraph" w:styleId="BalloonText">
    <w:name w:val="Balloon Text"/>
    <w:basedOn w:val="Normal"/>
    <w:link w:val="BalloonTextChar"/>
    <w:uiPriority w:val="99"/>
    <w:semiHidden/>
    <w:unhideWhenUsed/>
    <w:rsid w:val="000E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2459"/>
    <w:pPr>
      <w:spacing w:after="200"/>
    </w:pPr>
    <w:rPr>
      <w:rFonts w:asciiTheme="minorHAnsi" w:eastAsiaTheme="minorHAnsi" w:hAnsiTheme="minorHAnsi" w:cstheme="minorBidi"/>
      <w:b/>
      <w:bCs/>
      <w:lang w:val="nl-BE" w:eastAsia="en-US"/>
    </w:rPr>
  </w:style>
  <w:style w:type="character" w:customStyle="1" w:styleId="CommentSubjectChar">
    <w:name w:val="Comment Subject Char"/>
    <w:basedOn w:val="CommentTextChar"/>
    <w:link w:val="CommentSubject"/>
    <w:uiPriority w:val="99"/>
    <w:semiHidden/>
    <w:rsid w:val="00BC2459"/>
    <w:rPr>
      <w:rFonts w:ascii="Times New Roman" w:eastAsia="Times New Roman" w:hAnsi="Times New Roman" w:cs="Times New Roman"/>
      <w:b/>
      <w:bCs/>
      <w:sz w:val="20"/>
      <w:szCs w:val="20"/>
      <w:lang w:val="en-US" w:eastAsia="nl-NL"/>
    </w:rPr>
  </w:style>
  <w:style w:type="table" w:styleId="TableGrid">
    <w:name w:val="Table Grid"/>
    <w:basedOn w:val="TableNormal"/>
    <w:uiPriority w:val="39"/>
    <w:rsid w:val="009A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21">
    <w:name w:val="Onopgemaakte tabel 21"/>
    <w:basedOn w:val="TableNormal"/>
    <w:uiPriority w:val="42"/>
    <w:rsid w:val="009A43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062AC"/>
    <w:pPr>
      <w:spacing w:after="0" w:line="240" w:lineRule="auto"/>
    </w:pPr>
  </w:style>
  <w:style w:type="paragraph" w:styleId="NormalWeb">
    <w:name w:val="Normal (Web)"/>
    <w:basedOn w:val="Normal"/>
    <w:uiPriority w:val="99"/>
    <w:unhideWhenUsed/>
    <w:rsid w:val="00A40CB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48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08">
      <w:bodyDiv w:val="1"/>
      <w:marLeft w:val="0"/>
      <w:marRight w:val="0"/>
      <w:marTop w:val="0"/>
      <w:marBottom w:val="0"/>
      <w:divBdr>
        <w:top w:val="none" w:sz="0" w:space="0" w:color="auto"/>
        <w:left w:val="none" w:sz="0" w:space="0" w:color="auto"/>
        <w:bottom w:val="none" w:sz="0" w:space="0" w:color="auto"/>
        <w:right w:val="none" w:sz="0" w:space="0" w:color="auto"/>
      </w:divBdr>
    </w:div>
    <w:div w:id="88089946">
      <w:bodyDiv w:val="1"/>
      <w:marLeft w:val="0"/>
      <w:marRight w:val="0"/>
      <w:marTop w:val="0"/>
      <w:marBottom w:val="0"/>
      <w:divBdr>
        <w:top w:val="none" w:sz="0" w:space="0" w:color="auto"/>
        <w:left w:val="none" w:sz="0" w:space="0" w:color="auto"/>
        <w:bottom w:val="none" w:sz="0" w:space="0" w:color="auto"/>
        <w:right w:val="none" w:sz="0" w:space="0" w:color="auto"/>
      </w:divBdr>
    </w:div>
    <w:div w:id="181747671">
      <w:bodyDiv w:val="1"/>
      <w:marLeft w:val="0"/>
      <w:marRight w:val="0"/>
      <w:marTop w:val="0"/>
      <w:marBottom w:val="0"/>
      <w:divBdr>
        <w:top w:val="none" w:sz="0" w:space="0" w:color="auto"/>
        <w:left w:val="none" w:sz="0" w:space="0" w:color="auto"/>
        <w:bottom w:val="none" w:sz="0" w:space="0" w:color="auto"/>
        <w:right w:val="none" w:sz="0" w:space="0" w:color="auto"/>
      </w:divBdr>
    </w:div>
    <w:div w:id="187719038">
      <w:bodyDiv w:val="1"/>
      <w:marLeft w:val="0"/>
      <w:marRight w:val="0"/>
      <w:marTop w:val="0"/>
      <w:marBottom w:val="0"/>
      <w:divBdr>
        <w:top w:val="none" w:sz="0" w:space="0" w:color="auto"/>
        <w:left w:val="none" w:sz="0" w:space="0" w:color="auto"/>
        <w:bottom w:val="none" w:sz="0" w:space="0" w:color="auto"/>
        <w:right w:val="none" w:sz="0" w:space="0" w:color="auto"/>
      </w:divBdr>
    </w:div>
    <w:div w:id="250772922">
      <w:bodyDiv w:val="1"/>
      <w:marLeft w:val="0"/>
      <w:marRight w:val="0"/>
      <w:marTop w:val="0"/>
      <w:marBottom w:val="0"/>
      <w:divBdr>
        <w:top w:val="none" w:sz="0" w:space="0" w:color="auto"/>
        <w:left w:val="none" w:sz="0" w:space="0" w:color="auto"/>
        <w:bottom w:val="none" w:sz="0" w:space="0" w:color="auto"/>
        <w:right w:val="none" w:sz="0" w:space="0" w:color="auto"/>
      </w:divBdr>
    </w:div>
    <w:div w:id="306907795">
      <w:bodyDiv w:val="1"/>
      <w:marLeft w:val="0"/>
      <w:marRight w:val="0"/>
      <w:marTop w:val="0"/>
      <w:marBottom w:val="0"/>
      <w:divBdr>
        <w:top w:val="none" w:sz="0" w:space="0" w:color="auto"/>
        <w:left w:val="none" w:sz="0" w:space="0" w:color="auto"/>
        <w:bottom w:val="none" w:sz="0" w:space="0" w:color="auto"/>
        <w:right w:val="none" w:sz="0" w:space="0" w:color="auto"/>
      </w:divBdr>
    </w:div>
    <w:div w:id="598678361">
      <w:bodyDiv w:val="1"/>
      <w:marLeft w:val="0"/>
      <w:marRight w:val="0"/>
      <w:marTop w:val="0"/>
      <w:marBottom w:val="0"/>
      <w:divBdr>
        <w:top w:val="none" w:sz="0" w:space="0" w:color="auto"/>
        <w:left w:val="none" w:sz="0" w:space="0" w:color="auto"/>
        <w:bottom w:val="none" w:sz="0" w:space="0" w:color="auto"/>
        <w:right w:val="none" w:sz="0" w:space="0" w:color="auto"/>
      </w:divBdr>
    </w:div>
    <w:div w:id="620262774">
      <w:bodyDiv w:val="1"/>
      <w:marLeft w:val="0"/>
      <w:marRight w:val="0"/>
      <w:marTop w:val="0"/>
      <w:marBottom w:val="0"/>
      <w:divBdr>
        <w:top w:val="none" w:sz="0" w:space="0" w:color="auto"/>
        <w:left w:val="none" w:sz="0" w:space="0" w:color="auto"/>
        <w:bottom w:val="none" w:sz="0" w:space="0" w:color="auto"/>
        <w:right w:val="none" w:sz="0" w:space="0" w:color="auto"/>
      </w:divBdr>
    </w:div>
    <w:div w:id="710761429">
      <w:bodyDiv w:val="1"/>
      <w:marLeft w:val="0"/>
      <w:marRight w:val="0"/>
      <w:marTop w:val="0"/>
      <w:marBottom w:val="0"/>
      <w:divBdr>
        <w:top w:val="none" w:sz="0" w:space="0" w:color="auto"/>
        <w:left w:val="none" w:sz="0" w:space="0" w:color="auto"/>
        <w:bottom w:val="none" w:sz="0" w:space="0" w:color="auto"/>
        <w:right w:val="none" w:sz="0" w:space="0" w:color="auto"/>
      </w:divBdr>
    </w:div>
    <w:div w:id="793527213">
      <w:bodyDiv w:val="1"/>
      <w:marLeft w:val="0"/>
      <w:marRight w:val="0"/>
      <w:marTop w:val="0"/>
      <w:marBottom w:val="0"/>
      <w:divBdr>
        <w:top w:val="none" w:sz="0" w:space="0" w:color="auto"/>
        <w:left w:val="none" w:sz="0" w:space="0" w:color="auto"/>
        <w:bottom w:val="none" w:sz="0" w:space="0" w:color="auto"/>
        <w:right w:val="none" w:sz="0" w:space="0" w:color="auto"/>
      </w:divBdr>
    </w:div>
    <w:div w:id="824394889">
      <w:bodyDiv w:val="1"/>
      <w:marLeft w:val="0"/>
      <w:marRight w:val="0"/>
      <w:marTop w:val="0"/>
      <w:marBottom w:val="0"/>
      <w:divBdr>
        <w:top w:val="none" w:sz="0" w:space="0" w:color="auto"/>
        <w:left w:val="none" w:sz="0" w:space="0" w:color="auto"/>
        <w:bottom w:val="none" w:sz="0" w:space="0" w:color="auto"/>
        <w:right w:val="none" w:sz="0" w:space="0" w:color="auto"/>
      </w:divBdr>
    </w:div>
    <w:div w:id="852886557">
      <w:bodyDiv w:val="1"/>
      <w:marLeft w:val="0"/>
      <w:marRight w:val="0"/>
      <w:marTop w:val="0"/>
      <w:marBottom w:val="0"/>
      <w:divBdr>
        <w:top w:val="none" w:sz="0" w:space="0" w:color="auto"/>
        <w:left w:val="none" w:sz="0" w:space="0" w:color="auto"/>
        <w:bottom w:val="none" w:sz="0" w:space="0" w:color="auto"/>
        <w:right w:val="none" w:sz="0" w:space="0" w:color="auto"/>
      </w:divBdr>
    </w:div>
    <w:div w:id="866215336">
      <w:bodyDiv w:val="1"/>
      <w:marLeft w:val="0"/>
      <w:marRight w:val="0"/>
      <w:marTop w:val="0"/>
      <w:marBottom w:val="0"/>
      <w:divBdr>
        <w:top w:val="none" w:sz="0" w:space="0" w:color="auto"/>
        <w:left w:val="none" w:sz="0" w:space="0" w:color="auto"/>
        <w:bottom w:val="none" w:sz="0" w:space="0" w:color="auto"/>
        <w:right w:val="none" w:sz="0" w:space="0" w:color="auto"/>
      </w:divBdr>
    </w:div>
    <w:div w:id="918370998">
      <w:bodyDiv w:val="1"/>
      <w:marLeft w:val="0"/>
      <w:marRight w:val="0"/>
      <w:marTop w:val="0"/>
      <w:marBottom w:val="0"/>
      <w:divBdr>
        <w:top w:val="none" w:sz="0" w:space="0" w:color="auto"/>
        <w:left w:val="none" w:sz="0" w:space="0" w:color="auto"/>
        <w:bottom w:val="none" w:sz="0" w:space="0" w:color="auto"/>
        <w:right w:val="none" w:sz="0" w:space="0" w:color="auto"/>
      </w:divBdr>
    </w:div>
    <w:div w:id="1386371606">
      <w:bodyDiv w:val="1"/>
      <w:marLeft w:val="0"/>
      <w:marRight w:val="0"/>
      <w:marTop w:val="0"/>
      <w:marBottom w:val="0"/>
      <w:divBdr>
        <w:top w:val="none" w:sz="0" w:space="0" w:color="auto"/>
        <w:left w:val="none" w:sz="0" w:space="0" w:color="auto"/>
        <w:bottom w:val="none" w:sz="0" w:space="0" w:color="auto"/>
        <w:right w:val="none" w:sz="0" w:space="0" w:color="auto"/>
      </w:divBdr>
    </w:div>
    <w:div w:id="1442916120">
      <w:bodyDiv w:val="1"/>
      <w:marLeft w:val="0"/>
      <w:marRight w:val="0"/>
      <w:marTop w:val="0"/>
      <w:marBottom w:val="0"/>
      <w:divBdr>
        <w:top w:val="none" w:sz="0" w:space="0" w:color="auto"/>
        <w:left w:val="none" w:sz="0" w:space="0" w:color="auto"/>
        <w:bottom w:val="none" w:sz="0" w:space="0" w:color="auto"/>
        <w:right w:val="none" w:sz="0" w:space="0" w:color="auto"/>
      </w:divBdr>
    </w:div>
    <w:div w:id="1444152982">
      <w:bodyDiv w:val="1"/>
      <w:marLeft w:val="0"/>
      <w:marRight w:val="0"/>
      <w:marTop w:val="0"/>
      <w:marBottom w:val="0"/>
      <w:divBdr>
        <w:top w:val="none" w:sz="0" w:space="0" w:color="auto"/>
        <w:left w:val="none" w:sz="0" w:space="0" w:color="auto"/>
        <w:bottom w:val="none" w:sz="0" w:space="0" w:color="auto"/>
        <w:right w:val="none" w:sz="0" w:space="0" w:color="auto"/>
      </w:divBdr>
    </w:div>
    <w:div w:id="1445925544">
      <w:bodyDiv w:val="1"/>
      <w:marLeft w:val="0"/>
      <w:marRight w:val="0"/>
      <w:marTop w:val="0"/>
      <w:marBottom w:val="0"/>
      <w:divBdr>
        <w:top w:val="none" w:sz="0" w:space="0" w:color="auto"/>
        <w:left w:val="none" w:sz="0" w:space="0" w:color="auto"/>
        <w:bottom w:val="none" w:sz="0" w:space="0" w:color="auto"/>
        <w:right w:val="none" w:sz="0" w:space="0" w:color="auto"/>
      </w:divBdr>
    </w:div>
    <w:div w:id="1458598938">
      <w:bodyDiv w:val="1"/>
      <w:marLeft w:val="0"/>
      <w:marRight w:val="0"/>
      <w:marTop w:val="0"/>
      <w:marBottom w:val="0"/>
      <w:divBdr>
        <w:top w:val="none" w:sz="0" w:space="0" w:color="auto"/>
        <w:left w:val="none" w:sz="0" w:space="0" w:color="auto"/>
        <w:bottom w:val="none" w:sz="0" w:space="0" w:color="auto"/>
        <w:right w:val="none" w:sz="0" w:space="0" w:color="auto"/>
      </w:divBdr>
    </w:div>
    <w:div w:id="1489328270">
      <w:bodyDiv w:val="1"/>
      <w:marLeft w:val="0"/>
      <w:marRight w:val="0"/>
      <w:marTop w:val="0"/>
      <w:marBottom w:val="0"/>
      <w:divBdr>
        <w:top w:val="none" w:sz="0" w:space="0" w:color="auto"/>
        <w:left w:val="none" w:sz="0" w:space="0" w:color="auto"/>
        <w:bottom w:val="none" w:sz="0" w:space="0" w:color="auto"/>
        <w:right w:val="none" w:sz="0" w:space="0" w:color="auto"/>
      </w:divBdr>
    </w:div>
    <w:div w:id="1584022544">
      <w:bodyDiv w:val="1"/>
      <w:marLeft w:val="0"/>
      <w:marRight w:val="0"/>
      <w:marTop w:val="0"/>
      <w:marBottom w:val="0"/>
      <w:divBdr>
        <w:top w:val="none" w:sz="0" w:space="0" w:color="auto"/>
        <w:left w:val="none" w:sz="0" w:space="0" w:color="auto"/>
        <w:bottom w:val="none" w:sz="0" w:space="0" w:color="auto"/>
        <w:right w:val="none" w:sz="0" w:space="0" w:color="auto"/>
      </w:divBdr>
    </w:div>
    <w:div w:id="1857764243">
      <w:bodyDiv w:val="1"/>
      <w:marLeft w:val="0"/>
      <w:marRight w:val="0"/>
      <w:marTop w:val="0"/>
      <w:marBottom w:val="0"/>
      <w:divBdr>
        <w:top w:val="none" w:sz="0" w:space="0" w:color="auto"/>
        <w:left w:val="none" w:sz="0" w:space="0" w:color="auto"/>
        <w:bottom w:val="none" w:sz="0" w:space="0" w:color="auto"/>
        <w:right w:val="none" w:sz="0" w:space="0" w:color="auto"/>
      </w:divBdr>
    </w:div>
    <w:div w:id="2093774742">
      <w:bodyDiv w:val="1"/>
      <w:marLeft w:val="0"/>
      <w:marRight w:val="0"/>
      <w:marTop w:val="0"/>
      <w:marBottom w:val="0"/>
      <w:divBdr>
        <w:top w:val="none" w:sz="0" w:space="0" w:color="auto"/>
        <w:left w:val="none" w:sz="0" w:space="0" w:color="auto"/>
        <w:bottom w:val="none" w:sz="0" w:space="0" w:color="auto"/>
        <w:right w:val="none" w:sz="0" w:space="0" w:color="auto"/>
      </w:divBdr>
    </w:div>
    <w:div w:id="2135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search?espv=2&amp;biw=1920&amp;bih=961&amp;q=endeavours&amp;spell=1&amp;sa=X&amp;ved=0CBgQvwUoAGoVChMI8fK0zo-DyQIVBHQPCh23Ygj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1467-9248.12002/abstrac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5DE7-E792-4DE9-B269-80083DE3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24</Pages>
  <Words>8934</Words>
  <Characters>49138</Characters>
  <Application>Microsoft Office Word</Application>
  <DocSecurity>0</DocSecurity>
  <Lines>409</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57957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Bouteca</dc:creator>
  <cp:lastModifiedBy>Nicolas Van de Voorde</cp:lastModifiedBy>
  <cp:revision>30</cp:revision>
  <cp:lastPrinted>2015-11-20T13:12:00Z</cp:lastPrinted>
  <dcterms:created xsi:type="dcterms:W3CDTF">2015-11-17T09:07:00Z</dcterms:created>
  <dcterms:modified xsi:type="dcterms:W3CDTF">2017-05-24T12:56:00Z</dcterms:modified>
</cp:coreProperties>
</file>